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C599" w14:textId="77777777" w:rsidR="00AC0AE9" w:rsidRPr="008317E3" w:rsidRDefault="00AC0AE9" w:rsidP="00AC0AE9">
      <w:pPr>
        <w:jc w:val="center"/>
        <w:rPr>
          <w:lang w:val="en-GB"/>
        </w:rPr>
      </w:pPr>
      <w:r w:rsidRPr="008317E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465DAE" wp14:editId="5F848738">
                <wp:simplePos x="0" y="0"/>
                <wp:positionH relativeFrom="page">
                  <wp:posOffset>6766560</wp:posOffset>
                </wp:positionH>
                <wp:positionV relativeFrom="page">
                  <wp:posOffset>10078113</wp:posOffset>
                </wp:positionV>
                <wp:extent cx="647700" cy="396240"/>
                <wp:effectExtent l="0" t="0" r="0" b="381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3E8C6" w14:textId="77777777" w:rsidR="00AC0AE9" w:rsidRPr="00260E65" w:rsidRDefault="00AC0AE9" w:rsidP="00AC0A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65D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2.8pt;margin-top:793.55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" o:allowincell="f" filled="f" stroked="f">
                <v:textbox>
                  <w:txbxContent>
                    <w:p w14:paraId="5783E8C6" w14:textId="77777777" w:rsidR="00AC0AE9" w:rsidRPr="00260E65" w:rsidRDefault="00AC0AE9" w:rsidP="00AC0A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17E3">
        <w:rPr>
          <w:noProof/>
        </w:rPr>
        <w:drawing>
          <wp:inline distT="0" distB="0" distL="0" distR="0" wp14:anchorId="7A445338" wp14:editId="2A39906B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7E55" w14:textId="69CEB6C3" w:rsidR="00AC0AE9" w:rsidRPr="008317E3" w:rsidRDefault="00AC0AE9" w:rsidP="003A2AD5">
      <w:pPr>
        <w:jc w:val="right"/>
        <w:rPr>
          <w:lang w:val="en-GB"/>
        </w:rPr>
      </w:pPr>
      <w:r w:rsidRPr="008317E3">
        <w:rPr>
          <w:lang w:val="en-GB"/>
        </w:rPr>
        <w:t xml:space="preserve">Brussels, </w:t>
      </w:r>
      <w:r w:rsidR="002B6DD6" w:rsidRPr="008317E3">
        <w:rPr>
          <w:lang w:val="en-GB"/>
        </w:rPr>
        <w:t>1</w:t>
      </w:r>
      <w:r w:rsidR="003C1A57" w:rsidRPr="008317E3">
        <w:rPr>
          <w:lang w:val="en-GB"/>
        </w:rPr>
        <w:t>2</w:t>
      </w:r>
      <w:r w:rsidR="002B6DD6" w:rsidRPr="008317E3">
        <w:rPr>
          <w:lang w:val="en-GB"/>
        </w:rPr>
        <w:t xml:space="preserve"> </w:t>
      </w:r>
      <w:r w:rsidR="003C1A57" w:rsidRPr="008317E3">
        <w:rPr>
          <w:lang w:val="en-GB"/>
        </w:rPr>
        <w:t xml:space="preserve">March </w:t>
      </w:r>
      <w:r w:rsidRPr="008317E3">
        <w:rPr>
          <w:lang w:val="en-GB"/>
        </w:rPr>
        <w:t>2025</w:t>
      </w:r>
    </w:p>
    <w:p w14:paraId="3CCD778B" w14:textId="77777777" w:rsidR="00AC0AE9" w:rsidRPr="008317E3" w:rsidRDefault="00AC0AE9">
      <w:pPr>
        <w:jc w:val="right"/>
        <w:rPr>
          <w:lang w:val="en-GB"/>
        </w:rPr>
      </w:pPr>
      <w:r w:rsidRPr="008317E3">
        <w:rPr>
          <w:lang w:val="en-GB"/>
        </w:rPr>
        <w:t>B2_TEN</w:t>
      </w:r>
    </w:p>
    <w:p w14:paraId="316FE24B" w14:textId="22E8E04A" w:rsidR="00AC0AE9" w:rsidRPr="008317E3" w:rsidRDefault="00AC0AE9">
      <w:pPr>
        <w:jc w:val="center"/>
        <w:rPr>
          <w:b/>
          <w:bCs/>
          <w:lang w:val="en-GB"/>
        </w:rPr>
      </w:pPr>
    </w:p>
    <w:p w14:paraId="3171E766" w14:textId="77777777" w:rsidR="007845BB" w:rsidRPr="008317E3" w:rsidRDefault="007845BB">
      <w:pPr>
        <w:jc w:val="center"/>
        <w:rPr>
          <w:b/>
          <w:bCs/>
          <w:lang w:val="en-GB"/>
        </w:rPr>
      </w:pPr>
      <w:r w:rsidRPr="008317E3">
        <w:rPr>
          <w:b/>
          <w:bCs/>
          <w:lang w:val="en-GB"/>
        </w:rPr>
        <w:t>2025 TEN SECTION WORK PROGRAMME</w:t>
      </w:r>
    </w:p>
    <w:p w14:paraId="612CDDDE" w14:textId="14E78B3A" w:rsidR="00153961" w:rsidRPr="008317E3" w:rsidRDefault="00153961">
      <w:pPr>
        <w:rPr>
          <w:lang w:val="en-GB"/>
        </w:rPr>
      </w:pPr>
    </w:p>
    <w:p w14:paraId="69CFBE04" w14:textId="03A76589" w:rsidR="00872AAE" w:rsidRPr="008317E3" w:rsidRDefault="00936D62">
      <w:pPr>
        <w:rPr>
          <w:lang w:val="en-GB"/>
        </w:rPr>
      </w:pPr>
      <w:r w:rsidRPr="008317E3">
        <w:rPr>
          <w:lang w:val="en-GB"/>
        </w:rPr>
        <w:t xml:space="preserve">In 2025, the TEN section </w:t>
      </w:r>
      <w:r w:rsidR="00872AAE" w:rsidRPr="008317E3">
        <w:rPr>
          <w:lang w:val="en-GB"/>
        </w:rPr>
        <w:t>work program</w:t>
      </w:r>
      <w:r w:rsidR="003C1A57" w:rsidRPr="008317E3">
        <w:rPr>
          <w:lang w:val="en-GB"/>
        </w:rPr>
        <w:t>me</w:t>
      </w:r>
      <w:r w:rsidR="00872AAE" w:rsidRPr="008317E3">
        <w:rPr>
          <w:lang w:val="en-GB"/>
        </w:rPr>
        <w:t xml:space="preserve"> will align with</w:t>
      </w:r>
      <w:r w:rsidRPr="008317E3">
        <w:rPr>
          <w:lang w:val="en-GB"/>
        </w:rPr>
        <w:t xml:space="preserve"> the European Commission’s </w:t>
      </w:r>
      <w:hyperlink r:id="rId12" w:history="1">
        <w:r w:rsidRPr="008317E3">
          <w:rPr>
            <w:color w:val="0000FF"/>
            <w:u w:val="single"/>
            <w:lang w:val="en-GB"/>
          </w:rPr>
          <w:t>priorities and guidelines</w:t>
        </w:r>
      </w:hyperlink>
      <w:r w:rsidRPr="008317E3">
        <w:rPr>
          <w:color w:val="0000FF"/>
          <w:u w:val="single"/>
          <w:lang w:val="en-GB"/>
        </w:rPr>
        <w:t xml:space="preserve"> </w:t>
      </w:r>
      <w:r w:rsidRPr="008317E3">
        <w:rPr>
          <w:lang w:val="en-GB" w:eastAsia="en-GB"/>
        </w:rPr>
        <w:t xml:space="preserve">for 2024–2029. </w:t>
      </w:r>
      <w:r w:rsidRPr="008317E3">
        <w:rPr>
          <w:lang w:val="en-GB"/>
        </w:rPr>
        <w:t xml:space="preserve">It will actively share its work and recommendations with EU institutions and civil society stakeholders, maximising their reach and impact. </w:t>
      </w:r>
    </w:p>
    <w:p w14:paraId="2917C2BD" w14:textId="77777777" w:rsidR="00872AAE" w:rsidRPr="008317E3" w:rsidRDefault="00872AAE">
      <w:pPr>
        <w:rPr>
          <w:lang w:val="en-GB"/>
        </w:rPr>
      </w:pPr>
    </w:p>
    <w:p w14:paraId="3E4A9BB6" w14:textId="3A463CBF" w:rsidR="00936D62" w:rsidRPr="00E509A6" w:rsidRDefault="00936D62">
      <w:r w:rsidRPr="00E509A6">
        <w:t>Within its scope of competence, the TEN section will focus on two of the Commission’s seven priorities: A new plan for Europe’s sustainable prosperity and competitiveness</w:t>
      </w:r>
      <w:r w:rsidRPr="00E509A6">
        <w:rPr>
          <w:b/>
          <w:bCs/>
        </w:rPr>
        <w:t xml:space="preserve"> and </w:t>
      </w:r>
      <w:r w:rsidRPr="00E509A6">
        <w:t>Supporting people, strengthening our societies and our social model. Additionally, it will contribute to the EESC’s work on Preparedness and Resilience and the Post-2027 Multiannual Financial Framework proposals.</w:t>
      </w:r>
    </w:p>
    <w:p w14:paraId="4D05B279" w14:textId="77777777" w:rsidR="00DE373C" w:rsidRPr="008317E3" w:rsidRDefault="00DE373C">
      <w:pPr>
        <w:rPr>
          <w:b/>
          <w:bCs/>
          <w:lang w:val="en-GB"/>
        </w:rPr>
      </w:pPr>
    </w:p>
    <w:p w14:paraId="40FF52D6" w14:textId="7CB3A019" w:rsidR="00EF1409" w:rsidRPr="008317E3" w:rsidRDefault="007845BB" w:rsidP="00E509A6">
      <w:pPr>
        <w:pStyle w:val="ListParagraph"/>
        <w:numPr>
          <w:ilvl w:val="0"/>
          <w:numId w:val="28"/>
        </w:numPr>
        <w:ind w:left="567" w:hanging="567"/>
        <w:rPr>
          <w:b/>
          <w:bCs/>
          <w:lang w:val="en-GB"/>
        </w:rPr>
      </w:pPr>
      <w:r w:rsidRPr="008317E3">
        <w:rPr>
          <w:b/>
          <w:bCs/>
          <w:lang w:val="en-GB"/>
        </w:rPr>
        <w:t>A new plan for Europe</w:t>
      </w:r>
      <w:r w:rsidR="002E4EDC" w:rsidRPr="008317E3">
        <w:rPr>
          <w:b/>
          <w:bCs/>
          <w:lang w:val="en-GB"/>
        </w:rPr>
        <w:t>’</w:t>
      </w:r>
      <w:r w:rsidRPr="008317E3">
        <w:rPr>
          <w:b/>
          <w:bCs/>
          <w:lang w:val="en-GB"/>
        </w:rPr>
        <w:t>s sustainable prosperity and competitiveness</w:t>
      </w:r>
    </w:p>
    <w:p w14:paraId="60A02FBB" w14:textId="77777777" w:rsidR="002E4EDC" w:rsidRPr="008317E3" w:rsidRDefault="002E4EDC">
      <w:pPr>
        <w:pStyle w:val="ListParagraph"/>
        <w:ind w:left="0"/>
        <w:rPr>
          <w:lang w:val="en-GB"/>
        </w:rPr>
      </w:pPr>
    </w:p>
    <w:p w14:paraId="370D4111" w14:textId="1211D8EB" w:rsidR="00EF35DA" w:rsidRPr="008317E3" w:rsidRDefault="00936D62">
      <w:pPr>
        <w:pStyle w:val="ListParagraph"/>
        <w:ind w:left="0"/>
        <w:rPr>
          <w:lang w:val="en-GB"/>
        </w:rPr>
      </w:pPr>
      <w:r w:rsidRPr="008317E3">
        <w:rPr>
          <w:lang w:val="en-GB"/>
        </w:rPr>
        <w:t xml:space="preserve">As part of its policy objectives, the TEN Section will </w:t>
      </w:r>
      <w:r w:rsidR="00EF35DA" w:rsidRPr="008317E3">
        <w:rPr>
          <w:lang w:val="en-GB"/>
        </w:rPr>
        <w:t xml:space="preserve">primarily </w:t>
      </w:r>
      <w:r w:rsidRPr="008317E3">
        <w:rPr>
          <w:lang w:val="en-GB"/>
        </w:rPr>
        <w:t xml:space="preserve">focus on initiatives aligned with </w:t>
      </w:r>
      <w:r w:rsidR="00EF35DA" w:rsidRPr="008317E3">
        <w:rPr>
          <w:lang w:val="en-GB"/>
        </w:rPr>
        <w:t>the</w:t>
      </w:r>
      <w:r w:rsidRPr="008317E3">
        <w:rPr>
          <w:lang w:val="en-GB"/>
        </w:rPr>
        <w:t xml:space="preserve"> </w:t>
      </w:r>
      <w:r w:rsidR="00EF35DA" w:rsidRPr="008317E3">
        <w:rPr>
          <w:lang w:val="en-GB"/>
        </w:rPr>
        <w:t>objectives of i) making business easier and ii) a clean industrial deal.</w:t>
      </w:r>
    </w:p>
    <w:p w14:paraId="7DE67994" w14:textId="1285FE86" w:rsidR="00EF1409" w:rsidRPr="008317E3" w:rsidRDefault="00EF1409">
      <w:pPr>
        <w:pStyle w:val="ListParagraph"/>
        <w:ind w:left="0"/>
        <w:rPr>
          <w:lang w:val="en-GB"/>
        </w:rPr>
      </w:pPr>
    </w:p>
    <w:p w14:paraId="210F0C75" w14:textId="51BB7055" w:rsidR="00186C6B" w:rsidRPr="008317E3" w:rsidRDefault="007845BB" w:rsidP="00E509A6">
      <w:pPr>
        <w:pStyle w:val="ListParagraph"/>
        <w:numPr>
          <w:ilvl w:val="1"/>
          <w:numId w:val="28"/>
        </w:numPr>
        <w:rPr>
          <w:u w:val="single"/>
          <w:lang w:val="en-GB"/>
        </w:rPr>
      </w:pPr>
      <w:r w:rsidRPr="008317E3">
        <w:rPr>
          <w:u w:val="single"/>
          <w:lang w:val="en-GB"/>
        </w:rPr>
        <w:t>Making business easier</w:t>
      </w:r>
    </w:p>
    <w:p w14:paraId="0F9C1580" w14:textId="77777777" w:rsidR="002E4EDC" w:rsidRPr="008317E3" w:rsidRDefault="002E4EDC">
      <w:pPr>
        <w:pStyle w:val="ListParagraph"/>
        <w:ind w:left="0"/>
        <w:rPr>
          <w:lang w:val="en-GB" w:eastAsia="en-GB"/>
        </w:rPr>
      </w:pPr>
    </w:p>
    <w:p w14:paraId="5F24DA35" w14:textId="4A931656" w:rsidR="00EF35DA" w:rsidRPr="008317E3" w:rsidRDefault="00EF35DA">
      <w:pPr>
        <w:pStyle w:val="ListParagraph"/>
        <w:ind w:left="0"/>
        <w:rPr>
          <w:lang w:val="en-GB" w:eastAsia="en-GB"/>
        </w:rPr>
      </w:pPr>
      <w:r w:rsidRPr="008317E3">
        <w:rPr>
          <w:lang w:val="en-GB" w:eastAsia="en-GB"/>
        </w:rPr>
        <w:t xml:space="preserve">The </w:t>
      </w:r>
      <w:r w:rsidRPr="008317E3">
        <w:rPr>
          <w:b/>
          <w:bCs/>
          <w:lang w:val="en-GB" w:eastAsia="en-GB"/>
        </w:rPr>
        <w:t>Competitiveness Compass</w:t>
      </w:r>
      <w:r w:rsidRPr="008317E3">
        <w:rPr>
          <w:lang w:val="en-GB" w:eastAsia="en-GB"/>
        </w:rPr>
        <w:t>, the first major initiative of the new Commission, sets out three core areas of action</w:t>
      </w:r>
      <w:r w:rsidR="002E4EDC" w:rsidRPr="008317E3">
        <w:rPr>
          <w:lang w:val="en-GB" w:eastAsia="en-GB"/>
        </w:rPr>
        <w:t xml:space="preserve"> – </w:t>
      </w:r>
      <w:r w:rsidRPr="008317E3">
        <w:rPr>
          <w:lang w:val="en-GB" w:eastAsia="en-GB"/>
        </w:rPr>
        <w:t>innovation, decarbonisation and competitiveness, and security and resilience</w:t>
      </w:r>
      <w:r w:rsidR="002E4EDC" w:rsidRPr="008317E3">
        <w:rPr>
          <w:lang w:val="en-GB" w:eastAsia="en-GB"/>
        </w:rPr>
        <w:t xml:space="preserve"> – </w:t>
      </w:r>
      <w:r w:rsidRPr="008317E3">
        <w:rPr>
          <w:lang w:val="en-GB" w:eastAsia="en-GB"/>
        </w:rPr>
        <w:t>alongside five cross-cutting priorities: simplification, reducing barriers to the Single Market, financing competitiveness, promoting skills and quality jobs, and enhancing policy coordination at both EU and national levels.</w:t>
      </w:r>
    </w:p>
    <w:p w14:paraId="2CA54DA9" w14:textId="77777777" w:rsidR="00186C6B" w:rsidRPr="008317E3" w:rsidRDefault="00186C6B">
      <w:pPr>
        <w:pStyle w:val="ListParagraph"/>
        <w:ind w:left="0"/>
        <w:rPr>
          <w:i/>
          <w:iCs/>
          <w:lang w:val="en-GB" w:eastAsia="en-GB"/>
        </w:rPr>
      </w:pPr>
    </w:p>
    <w:p w14:paraId="1D1CFA1F" w14:textId="07CCBF48" w:rsidR="007845BB" w:rsidRDefault="007C5D89">
      <w:pPr>
        <w:pStyle w:val="ListParagraph"/>
        <w:ind w:left="0"/>
        <w:rPr>
          <w:i/>
          <w:iCs/>
          <w:lang w:val="en-GB" w:eastAsia="en-GB"/>
        </w:rPr>
      </w:pPr>
      <w:r w:rsidRPr="008317E3">
        <w:rPr>
          <w:i/>
          <w:iCs/>
          <w:lang w:val="en-GB" w:eastAsia="en-GB"/>
        </w:rPr>
        <w:t>Innovation</w:t>
      </w:r>
    </w:p>
    <w:p w14:paraId="6D610308" w14:textId="77777777" w:rsidR="00A06B6F" w:rsidRPr="008317E3" w:rsidRDefault="00A06B6F">
      <w:pPr>
        <w:pStyle w:val="ListParagraph"/>
        <w:ind w:left="0"/>
        <w:rPr>
          <w:i/>
          <w:iCs/>
          <w:lang w:val="en-GB" w:eastAsia="en-GB"/>
        </w:rPr>
      </w:pPr>
    </w:p>
    <w:p w14:paraId="5057881B" w14:textId="54D2DF0F" w:rsidR="00186C6B" w:rsidRPr="008317E3" w:rsidRDefault="00102823">
      <w:pPr>
        <w:pStyle w:val="ListParagraph"/>
        <w:ind w:left="0"/>
        <w:rPr>
          <w:lang w:val="en-GB"/>
        </w:rPr>
      </w:pPr>
      <w:r w:rsidRPr="00A06B6F">
        <w:t xml:space="preserve">Building on the NIS2 Directive, the Directive on the Resilience of Critical Entities, and the Council Recommendation on a coordinated EU-wide approach to strengthening critical infrastructure resilience, </w:t>
      </w:r>
      <w:r w:rsidR="00872AAE" w:rsidRPr="00A06B6F">
        <w:t xml:space="preserve">the TEN section </w:t>
      </w:r>
      <w:r w:rsidRPr="00A06B6F">
        <w:t xml:space="preserve">will contribute to the </w:t>
      </w:r>
      <w:r w:rsidRPr="00A06B6F">
        <w:rPr>
          <w:b/>
          <w:bCs/>
        </w:rPr>
        <w:t>Digital Networks Act</w:t>
      </w:r>
      <w:r w:rsidRPr="00A06B6F">
        <w:t xml:space="preserve">, which will shape advanced digital network infrastructures. </w:t>
      </w:r>
      <w:r w:rsidR="002E4EDC" w:rsidRPr="00A06B6F">
        <w:t>In addition</w:t>
      </w:r>
      <w:r w:rsidRPr="00A06B6F">
        <w:t xml:space="preserve">, </w:t>
      </w:r>
      <w:r w:rsidR="00872AAE" w:rsidRPr="00A06B6F">
        <w:t xml:space="preserve">it </w:t>
      </w:r>
      <w:r w:rsidRPr="00A06B6F">
        <w:t>will engage with the</w:t>
      </w:r>
      <w:r w:rsidRPr="008317E3">
        <w:rPr>
          <w:lang w:val="en-GB"/>
        </w:rPr>
        <w:t xml:space="preserve"> </w:t>
      </w:r>
      <w:r w:rsidRPr="008317E3">
        <w:rPr>
          <w:b/>
          <w:bCs/>
          <w:lang w:val="en-GB"/>
        </w:rPr>
        <w:t>New Radio Spectrum Policy Programme (RSPP)</w:t>
      </w:r>
      <w:r w:rsidRPr="008317E3">
        <w:rPr>
          <w:lang w:val="en-GB"/>
        </w:rPr>
        <w:t xml:space="preserve"> legislative initiative, which focuses on the strategic management of radio spectrum and the harmonisation of its use across the European Union. </w:t>
      </w:r>
    </w:p>
    <w:p w14:paraId="0150F62E" w14:textId="77777777" w:rsidR="002B6DD6" w:rsidRPr="008317E3" w:rsidRDefault="002B6DD6">
      <w:pPr>
        <w:pStyle w:val="ListParagraph"/>
        <w:ind w:left="0"/>
        <w:rPr>
          <w:b/>
          <w:bCs/>
          <w:lang w:val="en-GB" w:eastAsia="en-GB"/>
        </w:rPr>
      </w:pPr>
    </w:p>
    <w:p w14:paraId="48F7ECEF" w14:textId="360D9A82" w:rsidR="000F27AD" w:rsidRPr="008317E3" w:rsidRDefault="002B6DD6">
      <w:pPr>
        <w:pStyle w:val="ListParagraph"/>
        <w:ind w:left="0"/>
        <w:rPr>
          <w:szCs w:val="20"/>
          <w:lang w:val="en-GB"/>
        </w:rPr>
      </w:pPr>
      <w:r w:rsidRPr="008317E3">
        <w:rPr>
          <w:color w:val="222222"/>
          <w:shd w:val="clear" w:color="auto" w:fill="FFFFFF"/>
          <w:lang w:val="en-GB"/>
        </w:rPr>
        <w:t xml:space="preserve">Some of the legislative proposals </w:t>
      </w:r>
      <w:r w:rsidR="002E4EDC" w:rsidRPr="008317E3">
        <w:rPr>
          <w:color w:val="222222"/>
          <w:shd w:val="clear" w:color="auto" w:fill="FFFFFF"/>
          <w:lang w:val="en-GB"/>
        </w:rPr>
        <w:t xml:space="preserve">that were due </w:t>
      </w:r>
      <w:r w:rsidRPr="008317E3">
        <w:rPr>
          <w:color w:val="222222"/>
          <w:shd w:val="clear" w:color="auto" w:fill="FFFFFF"/>
          <w:lang w:val="en-GB"/>
        </w:rPr>
        <w:t xml:space="preserve">to be published in the previous mandate are expected this year: </w:t>
      </w:r>
      <w:r w:rsidRPr="008317E3">
        <w:rPr>
          <w:lang w:val="en-GB"/>
        </w:rPr>
        <w:t xml:space="preserve">Revision of the roadworthiness package, initiatives on green corporate fleets, driverless cars, </w:t>
      </w:r>
      <w:r w:rsidRPr="008317E3">
        <w:rPr>
          <w:lang w:val="en-GB"/>
        </w:rPr>
        <w:lastRenderedPageBreak/>
        <w:t>urban air taxis, revision of the Train Drivers Directive, and r</w:t>
      </w:r>
      <w:r w:rsidRPr="008317E3">
        <w:rPr>
          <w:szCs w:val="20"/>
          <w:lang w:val="en-GB"/>
        </w:rPr>
        <w:t>evision of the regulatory framework for interoperable data sharing in rail transport (ERTMS).</w:t>
      </w:r>
    </w:p>
    <w:p w14:paraId="25E314D4" w14:textId="77777777" w:rsidR="001D3821" w:rsidRPr="008317E3" w:rsidRDefault="001D3821">
      <w:pPr>
        <w:pStyle w:val="ListParagraph"/>
        <w:ind w:left="0"/>
        <w:rPr>
          <w:i/>
          <w:iCs/>
          <w:lang w:val="en-GB" w:eastAsia="en-GB"/>
        </w:rPr>
      </w:pPr>
    </w:p>
    <w:p w14:paraId="5275084E" w14:textId="13A2C1E4" w:rsidR="00186C6B" w:rsidRPr="008317E3" w:rsidRDefault="00186C6B">
      <w:pPr>
        <w:pStyle w:val="ListParagraph"/>
        <w:ind w:left="0"/>
        <w:rPr>
          <w:i/>
          <w:iCs/>
          <w:lang w:val="en-GB" w:eastAsia="en-GB"/>
        </w:rPr>
      </w:pPr>
      <w:r w:rsidRPr="008317E3">
        <w:rPr>
          <w:i/>
          <w:iCs/>
          <w:lang w:val="en-GB" w:eastAsia="en-GB"/>
        </w:rPr>
        <w:t>Decarbonisation and competitiveness</w:t>
      </w:r>
    </w:p>
    <w:p w14:paraId="65F4F622" w14:textId="77777777" w:rsidR="001D3821" w:rsidRPr="008317E3" w:rsidRDefault="001D3821">
      <w:pPr>
        <w:pStyle w:val="ListParagraph"/>
        <w:ind w:left="0"/>
        <w:rPr>
          <w:lang w:val="en-GB"/>
        </w:rPr>
      </w:pPr>
    </w:p>
    <w:p w14:paraId="6FB1082E" w14:textId="2ADAEA6D" w:rsidR="00DD17C9" w:rsidRPr="00A06B6F" w:rsidRDefault="00F5120B">
      <w:pPr>
        <w:pStyle w:val="ListParagraph"/>
        <w:ind w:left="0"/>
      </w:pPr>
      <w:r w:rsidRPr="00A06B6F">
        <w:t xml:space="preserve">In a debate with relevant stakeholders, </w:t>
      </w:r>
      <w:r w:rsidR="001F5326" w:rsidRPr="00A06B6F">
        <w:t xml:space="preserve">the </w:t>
      </w:r>
      <w:r w:rsidR="002F074B" w:rsidRPr="00A06B6F">
        <w:t xml:space="preserve">TEN section will </w:t>
      </w:r>
      <w:r w:rsidR="00243750" w:rsidRPr="00A06B6F">
        <w:t>anticipate</w:t>
      </w:r>
      <w:r w:rsidR="00537D57" w:rsidRPr="00A06B6F">
        <w:t xml:space="preserve"> the publication of</w:t>
      </w:r>
      <w:r w:rsidR="002F074B" w:rsidRPr="00A06B6F">
        <w:t xml:space="preserve"> the </w:t>
      </w:r>
      <w:r w:rsidR="005066B8" w:rsidRPr="00A06B6F">
        <w:rPr>
          <w:b/>
          <w:bCs/>
        </w:rPr>
        <w:t>Sustainable Transport Investment Plan</w:t>
      </w:r>
      <w:r w:rsidR="00537D57" w:rsidRPr="00A06B6F">
        <w:t xml:space="preserve">, which </w:t>
      </w:r>
      <w:r w:rsidR="005066B8" w:rsidRPr="00A06B6F">
        <w:t xml:space="preserve">will focus on boosting investments in sustainable transport fuels, </w:t>
      </w:r>
      <w:r w:rsidR="006C0289" w:rsidRPr="00A06B6F">
        <w:t>charging infrastructure and the production and distribution of renewable and low-carbon transport fuels.</w:t>
      </w:r>
      <w:r w:rsidR="00243750" w:rsidRPr="00A06B6F">
        <w:t xml:space="preserve"> </w:t>
      </w:r>
      <w:r w:rsidR="00872AAE" w:rsidRPr="00A06B6F">
        <w:t xml:space="preserve">The section </w:t>
      </w:r>
      <w:r w:rsidR="00243750" w:rsidRPr="00A06B6F">
        <w:t>also expect</w:t>
      </w:r>
      <w:r w:rsidR="00872AAE" w:rsidRPr="00A06B6F">
        <w:t>s</w:t>
      </w:r>
      <w:r w:rsidR="00243750" w:rsidRPr="00A06B6F">
        <w:t xml:space="preserve"> to work on the</w:t>
      </w:r>
      <w:r w:rsidR="00E55205" w:rsidRPr="00A06B6F">
        <w:t xml:space="preserve"> </w:t>
      </w:r>
      <w:r w:rsidR="00DD17C9" w:rsidRPr="00A06B6F">
        <w:rPr>
          <w:b/>
          <w:bCs/>
        </w:rPr>
        <w:t>Port Strategy</w:t>
      </w:r>
      <w:r w:rsidR="00243750" w:rsidRPr="00A06B6F">
        <w:t xml:space="preserve"> and</w:t>
      </w:r>
      <w:r w:rsidR="00DD17C9" w:rsidRPr="00A06B6F">
        <w:t xml:space="preserve"> </w:t>
      </w:r>
      <w:r w:rsidR="00DD17C9" w:rsidRPr="00A06B6F">
        <w:rPr>
          <w:b/>
          <w:bCs/>
        </w:rPr>
        <w:t>Connecting EU capitals by high-speed rail</w:t>
      </w:r>
      <w:r w:rsidR="00243750" w:rsidRPr="00A06B6F">
        <w:t xml:space="preserve">, announced in the </w:t>
      </w:r>
      <w:r w:rsidR="00243750" w:rsidRPr="00A06B6F">
        <w:rPr>
          <w:b/>
          <w:bCs/>
        </w:rPr>
        <w:t>Com</w:t>
      </w:r>
      <w:r w:rsidR="006C3667" w:rsidRPr="00A06B6F">
        <w:rPr>
          <w:b/>
          <w:bCs/>
        </w:rPr>
        <w:t>p</w:t>
      </w:r>
      <w:r w:rsidR="00243750" w:rsidRPr="00A06B6F">
        <w:rPr>
          <w:b/>
          <w:bCs/>
        </w:rPr>
        <w:t>etitiveness Compass</w:t>
      </w:r>
      <w:r w:rsidR="00243750" w:rsidRPr="00A06B6F">
        <w:t>.</w:t>
      </w:r>
    </w:p>
    <w:p w14:paraId="059DFA0B" w14:textId="188E3BCF" w:rsidR="00501C8F" w:rsidRPr="008317E3" w:rsidRDefault="00501C8F">
      <w:pPr>
        <w:pStyle w:val="ListParagraph"/>
        <w:ind w:left="0"/>
        <w:rPr>
          <w:color w:val="000000"/>
          <w:lang w:val="en-GB"/>
        </w:rPr>
      </w:pPr>
    </w:p>
    <w:p w14:paraId="23993670" w14:textId="42ED3635" w:rsidR="00501C8F" w:rsidRPr="008317E3" w:rsidRDefault="00501C8F">
      <w:pPr>
        <w:pStyle w:val="ListParagraph"/>
        <w:ind w:left="0"/>
        <w:rPr>
          <w:color w:val="222222"/>
          <w:shd w:val="clear" w:color="auto" w:fill="FFFFFF"/>
          <w:lang w:val="en-GB"/>
        </w:rPr>
      </w:pPr>
      <w:r w:rsidRPr="008317E3">
        <w:rPr>
          <w:color w:val="222222"/>
          <w:shd w:val="clear" w:color="auto" w:fill="FFFFFF"/>
          <w:lang w:val="en-GB"/>
        </w:rPr>
        <w:t xml:space="preserve">The </w:t>
      </w:r>
      <w:r w:rsidR="001F5326" w:rsidRPr="008317E3">
        <w:rPr>
          <w:color w:val="222222"/>
          <w:shd w:val="clear" w:color="auto" w:fill="FFFFFF"/>
          <w:lang w:val="en-GB"/>
        </w:rPr>
        <w:t xml:space="preserve">TEN </w:t>
      </w:r>
      <w:r w:rsidRPr="008317E3">
        <w:rPr>
          <w:color w:val="222222"/>
          <w:shd w:val="clear" w:color="auto" w:fill="FFFFFF"/>
          <w:lang w:val="en-GB"/>
        </w:rPr>
        <w:t xml:space="preserve">section will contribute to the </w:t>
      </w:r>
      <w:r w:rsidRPr="008317E3">
        <w:rPr>
          <w:b/>
          <w:bCs/>
          <w:color w:val="222222"/>
          <w:shd w:val="clear" w:color="auto" w:fill="FFFFFF"/>
          <w:lang w:val="en-GB"/>
        </w:rPr>
        <w:t xml:space="preserve">EU Space Act. </w:t>
      </w:r>
      <w:r w:rsidRPr="008317E3">
        <w:rPr>
          <w:color w:val="222222"/>
          <w:shd w:val="clear" w:color="auto" w:fill="FFFFFF"/>
          <w:lang w:val="en-GB"/>
        </w:rPr>
        <w:t>The</w:t>
      </w:r>
      <w:r w:rsidRPr="008317E3">
        <w:rPr>
          <w:b/>
          <w:bCs/>
          <w:color w:val="222222"/>
          <w:shd w:val="clear" w:color="auto" w:fill="FFFFFF"/>
          <w:lang w:val="en-GB"/>
        </w:rPr>
        <w:t xml:space="preserve"> </w:t>
      </w:r>
      <w:r w:rsidRPr="008317E3">
        <w:rPr>
          <w:color w:val="222222"/>
          <w:shd w:val="clear" w:color="auto" w:fill="FFFFFF"/>
          <w:lang w:val="en-GB"/>
        </w:rPr>
        <w:t>aim is to establish a coherent legal framework for the EU</w:t>
      </w:r>
      <w:r w:rsidR="002E4EDC" w:rsidRPr="008317E3">
        <w:rPr>
          <w:color w:val="222222"/>
          <w:shd w:val="clear" w:color="auto" w:fill="FFFFFF"/>
          <w:lang w:val="en-GB"/>
        </w:rPr>
        <w:t>’</w:t>
      </w:r>
      <w:r w:rsidRPr="008317E3">
        <w:rPr>
          <w:color w:val="222222"/>
          <w:shd w:val="clear" w:color="auto" w:fill="FFFFFF"/>
          <w:lang w:val="en-GB"/>
        </w:rPr>
        <w:t>s currently fragmented space policy, provide legal certainty for space market operators, and create a level playing field within the sector.</w:t>
      </w:r>
    </w:p>
    <w:p w14:paraId="4DFF5C7E" w14:textId="77777777" w:rsidR="00CA6F23" w:rsidRPr="008317E3" w:rsidRDefault="00CA6F23">
      <w:pPr>
        <w:pStyle w:val="ListParagraph"/>
        <w:ind w:left="0"/>
        <w:rPr>
          <w:lang w:val="en-GB"/>
        </w:rPr>
      </w:pPr>
    </w:p>
    <w:p w14:paraId="69526C61" w14:textId="214565F3" w:rsidR="00F17462" w:rsidRPr="008317E3" w:rsidRDefault="007845BB" w:rsidP="00E509A6">
      <w:pPr>
        <w:pStyle w:val="ListParagraph"/>
        <w:numPr>
          <w:ilvl w:val="1"/>
          <w:numId w:val="28"/>
        </w:numPr>
        <w:rPr>
          <w:u w:val="single"/>
          <w:lang w:val="en-GB"/>
        </w:rPr>
      </w:pPr>
      <w:r w:rsidRPr="008317E3">
        <w:rPr>
          <w:u w:val="single"/>
          <w:lang w:val="en-GB"/>
        </w:rPr>
        <w:t>A Clean Industrial Deal</w:t>
      </w:r>
    </w:p>
    <w:p w14:paraId="2829B97B" w14:textId="77777777" w:rsidR="001F5326" w:rsidRPr="008317E3" w:rsidRDefault="001F5326">
      <w:pPr>
        <w:pStyle w:val="ListParagraph"/>
        <w:ind w:left="0"/>
        <w:rPr>
          <w:lang w:val="en-GB"/>
        </w:rPr>
      </w:pPr>
    </w:p>
    <w:p w14:paraId="3AAECC43" w14:textId="6AE5E0A0" w:rsidR="009D6B17" w:rsidRPr="008317E3" w:rsidRDefault="00F17462">
      <w:pPr>
        <w:pStyle w:val="ListParagraph"/>
        <w:ind w:left="0"/>
        <w:rPr>
          <w:lang w:val="en-GB"/>
        </w:rPr>
      </w:pPr>
      <w:r w:rsidRPr="008317E3">
        <w:rPr>
          <w:lang w:val="en-GB"/>
        </w:rPr>
        <w:t xml:space="preserve">The </w:t>
      </w:r>
      <w:r w:rsidR="00872AAE" w:rsidRPr="008317E3">
        <w:rPr>
          <w:lang w:val="en-GB"/>
        </w:rPr>
        <w:t xml:space="preserve">section </w:t>
      </w:r>
      <w:r w:rsidRPr="008317E3">
        <w:rPr>
          <w:lang w:val="en-GB"/>
        </w:rPr>
        <w:t xml:space="preserve">will build on its previous work when contributing to the </w:t>
      </w:r>
      <w:r w:rsidRPr="008317E3">
        <w:rPr>
          <w:b/>
          <w:bCs/>
          <w:lang w:val="en-GB"/>
        </w:rPr>
        <w:t>Affordable Energy Action Plan</w:t>
      </w:r>
      <w:r w:rsidRPr="008317E3">
        <w:rPr>
          <w:lang w:val="en-GB"/>
        </w:rPr>
        <w:t>,</w:t>
      </w:r>
      <w:r w:rsidRPr="008317E3">
        <w:rPr>
          <w:color w:val="FF0000"/>
          <w:lang w:val="en-GB"/>
        </w:rPr>
        <w:t xml:space="preserve"> </w:t>
      </w:r>
      <w:r w:rsidRPr="008317E3">
        <w:rPr>
          <w:lang w:val="en-GB"/>
        </w:rPr>
        <w:t xml:space="preserve">expected to support new ways of consuming energy based on local energy communities and energy sharing. </w:t>
      </w:r>
      <w:r w:rsidR="009E6A64" w:rsidRPr="008317E3">
        <w:rPr>
          <w:lang w:val="en-GB"/>
        </w:rPr>
        <w:t xml:space="preserve">Later in the year the Commission </w:t>
      </w:r>
      <w:r w:rsidR="001F5326" w:rsidRPr="008317E3">
        <w:rPr>
          <w:lang w:val="en-GB"/>
        </w:rPr>
        <w:t xml:space="preserve">plans </w:t>
      </w:r>
      <w:r w:rsidR="009E6A64" w:rsidRPr="008317E3">
        <w:rPr>
          <w:lang w:val="en-GB"/>
        </w:rPr>
        <w:t xml:space="preserve">to present a </w:t>
      </w:r>
      <w:r w:rsidR="009E6A64" w:rsidRPr="008317E3">
        <w:rPr>
          <w:b/>
          <w:bCs/>
          <w:lang w:val="en-GB"/>
        </w:rPr>
        <w:t>Citizens’ Energy Package</w:t>
      </w:r>
      <w:r w:rsidR="009E6A64" w:rsidRPr="008317E3">
        <w:rPr>
          <w:lang w:val="en-GB"/>
        </w:rPr>
        <w:t>, support</w:t>
      </w:r>
      <w:r w:rsidR="00243750" w:rsidRPr="008317E3">
        <w:rPr>
          <w:lang w:val="en-GB"/>
        </w:rPr>
        <w:t>ing</w:t>
      </w:r>
      <w:r w:rsidR="009E6A64" w:rsidRPr="008317E3">
        <w:rPr>
          <w:lang w:val="en-GB"/>
        </w:rPr>
        <w:t xml:space="preserve"> the </w:t>
      </w:r>
      <w:r w:rsidR="009E6A64" w:rsidRPr="008317E3">
        <w:rPr>
          <w:b/>
          <w:bCs/>
          <w:lang w:val="en-GB"/>
        </w:rPr>
        <w:t>EU Anti-Poverty Strategy</w:t>
      </w:r>
      <w:r w:rsidR="009E6A64" w:rsidRPr="008317E3">
        <w:rPr>
          <w:lang w:val="en-GB"/>
        </w:rPr>
        <w:t xml:space="preserve"> and contribut</w:t>
      </w:r>
      <w:r w:rsidR="00243750" w:rsidRPr="008317E3">
        <w:rPr>
          <w:lang w:val="en-GB"/>
        </w:rPr>
        <w:t>ing</w:t>
      </w:r>
      <w:r w:rsidR="009E6A64" w:rsidRPr="008317E3">
        <w:rPr>
          <w:lang w:val="en-GB"/>
        </w:rPr>
        <w:t xml:space="preserve"> to the </w:t>
      </w:r>
      <w:r w:rsidR="009E6A64" w:rsidRPr="008317E3">
        <w:rPr>
          <w:b/>
          <w:bCs/>
          <w:lang w:val="en-GB"/>
        </w:rPr>
        <w:t>European Affordable Housing Plan</w:t>
      </w:r>
      <w:r w:rsidR="009E6A64" w:rsidRPr="008317E3">
        <w:rPr>
          <w:lang w:val="en-GB"/>
        </w:rPr>
        <w:t>.</w:t>
      </w:r>
    </w:p>
    <w:p w14:paraId="5A086605" w14:textId="77777777" w:rsidR="009D6B17" w:rsidRPr="008317E3" w:rsidRDefault="009D6B17">
      <w:pPr>
        <w:pStyle w:val="ListParagraph"/>
        <w:ind w:left="0"/>
        <w:rPr>
          <w:lang w:val="en-GB"/>
        </w:rPr>
      </w:pPr>
    </w:p>
    <w:p w14:paraId="6168786B" w14:textId="379E2FFD" w:rsidR="009D6B17" w:rsidRPr="008317E3" w:rsidRDefault="009D6B17">
      <w:pPr>
        <w:pStyle w:val="ListParagraph"/>
        <w:ind w:left="0"/>
        <w:rPr>
          <w:lang w:val="en-GB"/>
        </w:rPr>
      </w:pPr>
      <w:r w:rsidRPr="008317E3">
        <w:rPr>
          <w:lang w:val="en-GB"/>
        </w:rPr>
        <w:t xml:space="preserve">In the transport field, </w:t>
      </w:r>
      <w:r w:rsidR="00872AAE" w:rsidRPr="008317E3">
        <w:rPr>
          <w:lang w:val="en-GB"/>
        </w:rPr>
        <w:t xml:space="preserve">the section </w:t>
      </w:r>
      <w:r w:rsidRPr="008317E3">
        <w:rPr>
          <w:lang w:val="en-GB"/>
        </w:rPr>
        <w:t>will contribute to the</w:t>
      </w:r>
      <w:r w:rsidR="00B91421" w:rsidRPr="008317E3">
        <w:rPr>
          <w:lang w:val="en-GB"/>
        </w:rPr>
        <w:t xml:space="preserve"> work on the</w:t>
      </w:r>
      <w:r w:rsidRPr="008317E3">
        <w:rPr>
          <w:lang w:val="en-GB"/>
        </w:rPr>
        <w:t xml:space="preserve"> </w:t>
      </w:r>
      <w:r w:rsidRPr="008317E3">
        <w:rPr>
          <w:b/>
          <w:bCs/>
          <w:lang w:val="en-GB"/>
        </w:rPr>
        <w:t>Single Digital Booking and Ticketing Regulation</w:t>
      </w:r>
      <w:r w:rsidR="00B91421" w:rsidRPr="008317E3">
        <w:rPr>
          <w:lang w:val="en-GB"/>
        </w:rPr>
        <w:t xml:space="preserve">, </w:t>
      </w:r>
      <w:r w:rsidR="00872AAE" w:rsidRPr="008317E3">
        <w:rPr>
          <w:lang w:val="en-GB"/>
        </w:rPr>
        <w:t>t</w:t>
      </w:r>
      <w:r w:rsidR="00B91421" w:rsidRPr="008317E3">
        <w:rPr>
          <w:lang w:val="en-GB"/>
        </w:rPr>
        <w:t xml:space="preserve">he aim </w:t>
      </w:r>
      <w:r w:rsidR="00872AAE" w:rsidRPr="008317E3">
        <w:rPr>
          <w:lang w:val="en-GB"/>
        </w:rPr>
        <w:t xml:space="preserve">of which </w:t>
      </w:r>
      <w:r w:rsidR="00B91421" w:rsidRPr="008317E3">
        <w:rPr>
          <w:lang w:val="en-GB"/>
        </w:rPr>
        <w:t xml:space="preserve">is to </w:t>
      </w:r>
      <w:r w:rsidR="001F5326" w:rsidRPr="008317E3">
        <w:rPr>
          <w:lang w:val="en-GB"/>
        </w:rPr>
        <w:t xml:space="preserve">enable the </w:t>
      </w:r>
      <w:r w:rsidR="00B91421" w:rsidRPr="008317E3">
        <w:rPr>
          <w:lang w:val="en-GB"/>
        </w:rPr>
        <w:t xml:space="preserve">purchase </w:t>
      </w:r>
      <w:r w:rsidR="001F5326" w:rsidRPr="008317E3">
        <w:rPr>
          <w:lang w:val="en-GB"/>
        </w:rPr>
        <w:t xml:space="preserve">of </w:t>
      </w:r>
      <w:r w:rsidR="00B91421" w:rsidRPr="008317E3">
        <w:rPr>
          <w:lang w:val="en-GB"/>
        </w:rPr>
        <w:t xml:space="preserve">a single ticket for multimodal </w:t>
      </w:r>
      <w:r w:rsidR="001F5326" w:rsidRPr="008317E3">
        <w:rPr>
          <w:lang w:val="en-GB"/>
        </w:rPr>
        <w:t xml:space="preserve">journeys </w:t>
      </w:r>
      <w:r w:rsidR="00B91421" w:rsidRPr="008317E3">
        <w:rPr>
          <w:lang w:val="en-GB"/>
        </w:rPr>
        <w:t>on one platform, ensuring passenger rights for t</w:t>
      </w:r>
      <w:r w:rsidR="00872AAE" w:rsidRPr="008317E3">
        <w:rPr>
          <w:lang w:val="en-GB"/>
        </w:rPr>
        <w:t>h</w:t>
      </w:r>
      <w:r w:rsidR="00B91421" w:rsidRPr="008317E3">
        <w:rPr>
          <w:lang w:val="en-GB"/>
        </w:rPr>
        <w:t>e entire journey.</w:t>
      </w:r>
    </w:p>
    <w:p w14:paraId="1188B2BB" w14:textId="77777777" w:rsidR="00025F48" w:rsidRPr="008317E3" w:rsidRDefault="00025F48">
      <w:pPr>
        <w:pStyle w:val="ListParagraph"/>
        <w:ind w:left="0"/>
        <w:rPr>
          <w:lang w:val="en-GB"/>
        </w:rPr>
      </w:pPr>
    </w:p>
    <w:p w14:paraId="78BAD32B" w14:textId="040E5225" w:rsidR="00025F48" w:rsidRPr="008317E3" w:rsidRDefault="00025F48">
      <w:pPr>
        <w:rPr>
          <w:lang w:val="en-GB"/>
        </w:rPr>
      </w:pPr>
      <w:r w:rsidRPr="008317E3">
        <w:rPr>
          <w:lang w:val="en-GB"/>
        </w:rPr>
        <w:t>Following the success of last year</w:t>
      </w:r>
      <w:r w:rsidR="002E4EDC" w:rsidRPr="008317E3">
        <w:rPr>
          <w:lang w:val="en-GB"/>
        </w:rPr>
        <w:t>’</w:t>
      </w:r>
      <w:r w:rsidRPr="008317E3">
        <w:rPr>
          <w:lang w:val="en-GB"/>
        </w:rPr>
        <w:t xml:space="preserve">s activities in the field of </w:t>
      </w:r>
      <w:r w:rsidRPr="008317E3">
        <w:rPr>
          <w:b/>
          <w:bCs/>
          <w:lang w:val="en-GB"/>
        </w:rPr>
        <w:t>radioactive waste</w:t>
      </w:r>
      <w:r w:rsidRPr="008317E3">
        <w:rPr>
          <w:lang w:val="en-GB"/>
        </w:rPr>
        <w:t xml:space="preserve">, </w:t>
      </w:r>
      <w:r w:rsidR="006D67B8" w:rsidRPr="008317E3">
        <w:rPr>
          <w:lang w:val="en-GB"/>
        </w:rPr>
        <w:t xml:space="preserve">the EESC will take part in </w:t>
      </w:r>
      <w:r w:rsidR="006D67B8" w:rsidRPr="008317E3">
        <w:rPr>
          <w:b/>
          <w:bCs/>
          <w:lang w:val="en-GB"/>
        </w:rPr>
        <w:t>EURAD-2</w:t>
      </w:r>
      <w:r w:rsidR="006D67B8" w:rsidRPr="008317E3">
        <w:rPr>
          <w:lang w:val="en-GB"/>
        </w:rPr>
        <w:t xml:space="preserve"> activities. </w:t>
      </w:r>
      <w:r w:rsidR="004D69BF" w:rsidRPr="008317E3">
        <w:rPr>
          <w:lang w:val="en-GB"/>
        </w:rPr>
        <w:t xml:space="preserve">The TEN Section will </w:t>
      </w:r>
      <w:r w:rsidR="00406889" w:rsidRPr="008317E3">
        <w:rPr>
          <w:lang w:val="en-GB"/>
        </w:rPr>
        <w:t xml:space="preserve">also </w:t>
      </w:r>
      <w:r w:rsidR="004D69BF" w:rsidRPr="008317E3">
        <w:rPr>
          <w:lang w:val="en-GB"/>
        </w:rPr>
        <w:t>actively participat</w:t>
      </w:r>
      <w:r w:rsidR="009E3EFA" w:rsidRPr="008317E3">
        <w:rPr>
          <w:lang w:val="en-GB"/>
        </w:rPr>
        <w:t>e</w:t>
      </w:r>
      <w:r w:rsidR="004D69BF" w:rsidRPr="008317E3">
        <w:rPr>
          <w:lang w:val="en-GB"/>
        </w:rPr>
        <w:t xml:space="preserve"> in the European Industrial Alliance on SMRs in the Working Group on Public Engagement by the appointment of an EESC </w:t>
      </w:r>
      <w:r w:rsidR="00A10C08" w:rsidRPr="008317E3">
        <w:rPr>
          <w:lang w:val="en-GB"/>
        </w:rPr>
        <w:t>m</w:t>
      </w:r>
      <w:r w:rsidR="004D69BF" w:rsidRPr="008317E3">
        <w:rPr>
          <w:lang w:val="en-GB"/>
        </w:rPr>
        <w:t>ember as vice-chair of the WG.</w:t>
      </w:r>
      <w:r w:rsidRPr="008317E3">
        <w:rPr>
          <w:lang w:val="en-GB"/>
        </w:rPr>
        <w:t xml:space="preserve"> </w:t>
      </w:r>
      <w:r w:rsidR="00A10C08" w:rsidRPr="008317E3">
        <w:rPr>
          <w:lang w:val="en-GB"/>
        </w:rPr>
        <w:t>A</w:t>
      </w:r>
      <w:r w:rsidR="006C3667" w:rsidRPr="008317E3">
        <w:rPr>
          <w:lang w:val="en-GB"/>
        </w:rPr>
        <w:t xml:space="preserve"> mandatory referral</w:t>
      </w:r>
      <w:r w:rsidRPr="008317E3">
        <w:rPr>
          <w:lang w:val="en-GB"/>
        </w:rPr>
        <w:t xml:space="preserve"> on the next Euratom Programme 2026-2027 for the Council is</w:t>
      </w:r>
      <w:r w:rsidR="00A10C08" w:rsidRPr="008317E3">
        <w:rPr>
          <w:lang w:val="en-GB"/>
        </w:rPr>
        <w:t xml:space="preserve"> also</w:t>
      </w:r>
      <w:r w:rsidRPr="008317E3">
        <w:rPr>
          <w:lang w:val="en-GB"/>
        </w:rPr>
        <w:t xml:space="preserve"> </w:t>
      </w:r>
      <w:r w:rsidR="006C3667" w:rsidRPr="008317E3">
        <w:rPr>
          <w:lang w:val="en-GB"/>
        </w:rPr>
        <w:t>expected</w:t>
      </w:r>
      <w:r w:rsidRPr="008317E3">
        <w:rPr>
          <w:lang w:val="en-GB"/>
        </w:rPr>
        <w:t>.</w:t>
      </w:r>
      <w:r w:rsidR="006D67B8" w:rsidRPr="008317E3">
        <w:rPr>
          <w:lang w:val="en-GB"/>
        </w:rPr>
        <w:t xml:space="preserve"> The EESC will </w:t>
      </w:r>
      <w:r w:rsidR="00501C8F" w:rsidRPr="008317E3">
        <w:rPr>
          <w:lang w:val="en-GB"/>
        </w:rPr>
        <w:t>participate in</w:t>
      </w:r>
      <w:r w:rsidR="006D67B8" w:rsidRPr="008317E3">
        <w:rPr>
          <w:lang w:val="en-GB"/>
        </w:rPr>
        <w:t xml:space="preserve"> the 11th edition of the </w:t>
      </w:r>
      <w:r w:rsidR="006D67B8" w:rsidRPr="008317E3">
        <w:rPr>
          <w:b/>
          <w:bCs/>
          <w:lang w:val="en-GB"/>
        </w:rPr>
        <w:t>International Euratom research and training conferences on fission safety of reactor systems</w:t>
      </w:r>
      <w:r w:rsidR="006D67B8" w:rsidRPr="008317E3">
        <w:rPr>
          <w:lang w:val="en-GB"/>
        </w:rPr>
        <w:t xml:space="preserve"> (FISA) and radioactive waste management (EURADWASTE) organised in Warsaw (12-16 May 2025).</w:t>
      </w:r>
    </w:p>
    <w:p w14:paraId="5C61A50C" w14:textId="77777777" w:rsidR="003C1A57" w:rsidRPr="008317E3" w:rsidRDefault="003C1A57">
      <w:pPr>
        <w:rPr>
          <w:lang w:val="en-GB"/>
        </w:rPr>
      </w:pPr>
    </w:p>
    <w:p w14:paraId="310F878C" w14:textId="3472059F" w:rsidR="007845BB" w:rsidRPr="008317E3" w:rsidRDefault="007845BB" w:rsidP="00E509A6">
      <w:pPr>
        <w:pStyle w:val="ListParagraph"/>
        <w:numPr>
          <w:ilvl w:val="0"/>
          <w:numId w:val="28"/>
        </w:numPr>
        <w:ind w:left="567" w:hanging="567"/>
        <w:rPr>
          <w:b/>
          <w:bCs/>
          <w:lang w:val="en-GB"/>
        </w:rPr>
      </w:pPr>
      <w:r w:rsidRPr="008317E3">
        <w:rPr>
          <w:b/>
          <w:bCs/>
          <w:lang w:val="en-GB"/>
        </w:rPr>
        <w:t>Supporting people, strengthening our societies and our social model</w:t>
      </w:r>
      <w:r w:rsidR="00B71F99" w:rsidRPr="008317E3">
        <w:rPr>
          <w:b/>
          <w:bCs/>
          <w:lang w:val="en-GB"/>
        </w:rPr>
        <w:t xml:space="preserve"> </w:t>
      </w:r>
    </w:p>
    <w:p w14:paraId="295A37C9" w14:textId="77777777" w:rsidR="00A10C08" w:rsidRPr="008317E3" w:rsidRDefault="00A10C08">
      <w:pPr>
        <w:pStyle w:val="ListParagraph"/>
        <w:ind w:left="0"/>
        <w:rPr>
          <w:lang w:val="en-GB"/>
        </w:rPr>
      </w:pPr>
    </w:p>
    <w:p w14:paraId="2ED041BF" w14:textId="154E76BC" w:rsidR="00060C6A" w:rsidRPr="008317E3" w:rsidRDefault="00F26CAA">
      <w:pPr>
        <w:pStyle w:val="ListParagraph"/>
        <w:ind w:left="0"/>
        <w:rPr>
          <w:lang w:val="en-GB"/>
        </w:rPr>
      </w:pPr>
      <w:r w:rsidRPr="008317E3">
        <w:rPr>
          <w:lang w:val="en-GB"/>
        </w:rPr>
        <w:t xml:space="preserve">Within this priority, </w:t>
      </w:r>
      <w:r w:rsidR="00A10C08" w:rsidRPr="008317E3">
        <w:rPr>
          <w:lang w:val="en-GB"/>
        </w:rPr>
        <w:t xml:space="preserve">the </w:t>
      </w:r>
      <w:r w:rsidRPr="008317E3">
        <w:rPr>
          <w:lang w:val="en-GB"/>
        </w:rPr>
        <w:t xml:space="preserve">TEN Section will </w:t>
      </w:r>
      <w:r w:rsidR="008E1A44" w:rsidRPr="008317E3">
        <w:rPr>
          <w:lang w:val="en-GB"/>
        </w:rPr>
        <w:t>contribute to</w:t>
      </w:r>
      <w:r w:rsidR="007845BB" w:rsidRPr="008317E3">
        <w:rPr>
          <w:lang w:val="en-GB"/>
        </w:rPr>
        <w:t xml:space="preserve"> the first-ever </w:t>
      </w:r>
      <w:r w:rsidR="007845BB" w:rsidRPr="008317E3">
        <w:rPr>
          <w:b/>
          <w:bCs/>
          <w:lang w:val="en-GB"/>
        </w:rPr>
        <w:t>EU Anti-Poverty Strategy</w:t>
      </w:r>
      <w:r w:rsidR="007845BB" w:rsidRPr="008317E3">
        <w:rPr>
          <w:lang w:val="en-GB"/>
        </w:rPr>
        <w:t>, tackl</w:t>
      </w:r>
      <w:r w:rsidR="00A10C08" w:rsidRPr="008317E3">
        <w:rPr>
          <w:lang w:val="en-GB"/>
        </w:rPr>
        <w:t>ing</w:t>
      </w:r>
      <w:r w:rsidR="007845BB" w:rsidRPr="008317E3">
        <w:rPr>
          <w:lang w:val="en-GB"/>
        </w:rPr>
        <w:t xml:space="preserve"> the housing crisis by </w:t>
      </w:r>
      <w:r w:rsidR="008E1A44" w:rsidRPr="008317E3">
        <w:rPr>
          <w:lang w:val="en-GB"/>
        </w:rPr>
        <w:t>issuing its recommendations on a future</w:t>
      </w:r>
      <w:r w:rsidR="007845BB" w:rsidRPr="008317E3">
        <w:rPr>
          <w:lang w:val="en-GB"/>
        </w:rPr>
        <w:t xml:space="preserve"> </w:t>
      </w:r>
      <w:r w:rsidR="007845BB" w:rsidRPr="008317E3">
        <w:rPr>
          <w:b/>
          <w:bCs/>
          <w:lang w:val="en-GB"/>
        </w:rPr>
        <w:t>European Affordable Housing Plan</w:t>
      </w:r>
      <w:r w:rsidR="007845BB" w:rsidRPr="008317E3">
        <w:rPr>
          <w:lang w:val="en-GB"/>
        </w:rPr>
        <w:t xml:space="preserve"> and a </w:t>
      </w:r>
      <w:r w:rsidR="007845BB" w:rsidRPr="008317E3">
        <w:rPr>
          <w:b/>
          <w:bCs/>
          <w:lang w:val="en-GB"/>
        </w:rPr>
        <w:t>pan-European investment platform</w:t>
      </w:r>
      <w:r w:rsidR="007845BB" w:rsidRPr="008317E3">
        <w:rPr>
          <w:lang w:val="en-GB"/>
        </w:rPr>
        <w:t xml:space="preserve"> </w:t>
      </w:r>
      <w:r w:rsidR="007845BB" w:rsidRPr="008317E3">
        <w:rPr>
          <w:b/>
          <w:bCs/>
          <w:lang w:val="en-GB"/>
        </w:rPr>
        <w:t>for affordable and sustainable housing</w:t>
      </w:r>
      <w:r w:rsidR="007845BB" w:rsidRPr="008317E3">
        <w:rPr>
          <w:lang w:val="en-GB"/>
        </w:rPr>
        <w:t>.</w:t>
      </w:r>
    </w:p>
    <w:p w14:paraId="6DFAE895" w14:textId="77777777" w:rsidR="00607275" w:rsidRPr="008317E3" w:rsidRDefault="00607275">
      <w:pPr>
        <w:pStyle w:val="ListParagraph"/>
        <w:ind w:left="0"/>
        <w:rPr>
          <w:lang w:val="en-GB"/>
        </w:rPr>
      </w:pPr>
    </w:p>
    <w:p w14:paraId="4EFC2182" w14:textId="72A14AAD" w:rsidR="005537D7" w:rsidRPr="008317E3" w:rsidRDefault="004C1E0E" w:rsidP="00E509A6">
      <w:pPr>
        <w:pStyle w:val="ListParagraph"/>
        <w:numPr>
          <w:ilvl w:val="0"/>
          <w:numId w:val="28"/>
        </w:numPr>
        <w:ind w:left="567" w:hanging="567"/>
        <w:rPr>
          <w:lang w:val="en-GB"/>
        </w:rPr>
      </w:pPr>
      <w:r w:rsidRPr="008317E3">
        <w:rPr>
          <w:lang w:val="en-GB"/>
        </w:rPr>
        <w:t>The TEN Section will contribute to the</w:t>
      </w:r>
      <w:r w:rsidR="00501C8F" w:rsidRPr="008317E3">
        <w:rPr>
          <w:lang w:val="en-GB"/>
        </w:rPr>
        <w:t xml:space="preserve"> cross-cutting</w:t>
      </w:r>
      <w:r w:rsidRPr="008317E3">
        <w:rPr>
          <w:lang w:val="en-GB"/>
        </w:rPr>
        <w:t xml:space="preserve"> </w:t>
      </w:r>
      <w:r w:rsidRPr="008317E3">
        <w:rPr>
          <w:b/>
          <w:bCs/>
          <w:lang w:val="en-GB"/>
        </w:rPr>
        <w:t>Preparedness Union Strategy</w:t>
      </w:r>
      <w:r w:rsidRPr="008317E3">
        <w:rPr>
          <w:lang w:val="en-GB"/>
        </w:rPr>
        <w:t>, which aims to strengthen, prepare and enhance the resilience of the Union, drawing on the insights from Sauli Niinistö</w:t>
      </w:r>
      <w:r w:rsidR="002E4EDC" w:rsidRPr="008317E3">
        <w:rPr>
          <w:lang w:val="en-GB"/>
        </w:rPr>
        <w:t>’</w:t>
      </w:r>
      <w:r w:rsidRPr="008317E3">
        <w:rPr>
          <w:lang w:val="en-GB"/>
        </w:rPr>
        <w:t xml:space="preserve">s special report. </w:t>
      </w:r>
    </w:p>
    <w:p w14:paraId="0C31CBA8" w14:textId="77777777" w:rsidR="005537D7" w:rsidRPr="008317E3" w:rsidRDefault="005537D7">
      <w:pPr>
        <w:pStyle w:val="ListParagraph"/>
        <w:ind w:left="0"/>
        <w:rPr>
          <w:lang w:val="en-GB"/>
        </w:rPr>
      </w:pPr>
    </w:p>
    <w:p w14:paraId="48A08639" w14:textId="30BAD066" w:rsidR="00541A44" w:rsidRPr="008317E3" w:rsidRDefault="00541A44" w:rsidP="00E509A6">
      <w:pPr>
        <w:pStyle w:val="ListParagraph"/>
        <w:keepNext/>
        <w:keepLines/>
        <w:numPr>
          <w:ilvl w:val="0"/>
          <w:numId w:val="28"/>
        </w:numPr>
        <w:ind w:left="567" w:hanging="567"/>
        <w:rPr>
          <w:b/>
          <w:bCs/>
          <w:lang w:val="en-GB"/>
        </w:rPr>
      </w:pPr>
      <w:r w:rsidRPr="008317E3">
        <w:rPr>
          <w:b/>
          <w:bCs/>
          <w:lang w:val="en-GB"/>
        </w:rPr>
        <w:lastRenderedPageBreak/>
        <w:t>REFIT</w:t>
      </w:r>
    </w:p>
    <w:p w14:paraId="3AC82F84" w14:textId="77777777" w:rsidR="00A10C08" w:rsidRPr="008317E3" w:rsidRDefault="00A10C08" w:rsidP="00E509A6">
      <w:pPr>
        <w:pStyle w:val="ListParagraph"/>
        <w:keepNext/>
        <w:keepLines/>
        <w:ind w:left="0"/>
        <w:rPr>
          <w:lang w:val="en-GB"/>
        </w:rPr>
      </w:pPr>
    </w:p>
    <w:p w14:paraId="0898ADF7" w14:textId="2CE10829" w:rsidR="002B6DD6" w:rsidRPr="008317E3" w:rsidRDefault="00A10C08">
      <w:pPr>
        <w:pStyle w:val="ListParagraph"/>
        <w:ind w:left="0"/>
        <w:rPr>
          <w:lang w:val="en-GB"/>
        </w:rPr>
      </w:pPr>
      <w:r w:rsidRPr="00A06B6F">
        <w:t>In addition</w:t>
      </w:r>
      <w:r w:rsidR="005537D7" w:rsidRPr="00A06B6F">
        <w:t>, t</w:t>
      </w:r>
      <w:r w:rsidR="00A45B44" w:rsidRPr="00A06B6F">
        <w:t>his year w</w:t>
      </w:r>
      <w:r w:rsidR="00F501D6" w:rsidRPr="00A06B6F">
        <w:t>e will work on several initiatives which will undergo a fitness-check or evaluation by the Commission. The</w:t>
      </w:r>
      <w:r w:rsidRPr="00A06B6F">
        <w:t>se</w:t>
      </w:r>
      <w:r w:rsidR="00F501D6" w:rsidRPr="00A06B6F">
        <w:t xml:space="preserve"> will include</w:t>
      </w:r>
      <w:r w:rsidRPr="00A06B6F">
        <w:t>, in particular,</w:t>
      </w:r>
      <w:r w:rsidR="00A45B44" w:rsidRPr="00A06B6F">
        <w:t xml:space="preserve"> f</w:t>
      </w:r>
      <w:r w:rsidR="00FA5517" w:rsidRPr="00A06B6F">
        <w:t>itness check</w:t>
      </w:r>
      <w:r w:rsidR="00A45B44" w:rsidRPr="00A06B6F">
        <w:t>s</w:t>
      </w:r>
      <w:r w:rsidR="00FA5517" w:rsidRPr="00A06B6F">
        <w:t xml:space="preserve"> o</w:t>
      </w:r>
      <w:r w:rsidR="00A45B44" w:rsidRPr="00A06B6F">
        <w:t>f</w:t>
      </w:r>
      <w:r w:rsidR="00FA5517" w:rsidRPr="008317E3">
        <w:rPr>
          <w:lang w:val="en-GB" w:eastAsia="en-GB"/>
        </w:rPr>
        <w:t xml:space="preserve"> </w:t>
      </w:r>
      <w:r w:rsidR="00FA5517" w:rsidRPr="008317E3">
        <w:rPr>
          <w:b/>
          <w:bCs/>
          <w:lang w:val="en-GB" w:eastAsia="en-GB"/>
        </w:rPr>
        <w:t>energy security architecture</w:t>
      </w:r>
      <w:r w:rsidR="00FA5517" w:rsidRPr="008317E3">
        <w:rPr>
          <w:lang w:val="en-GB" w:eastAsia="en-GB"/>
        </w:rPr>
        <w:t xml:space="preserve"> </w:t>
      </w:r>
      <w:r w:rsidR="00A45B44" w:rsidRPr="008317E3">
        <w:rPr>
          <w:lang w:val="en-GB" w:eastAsia="en-GB"/>
        </w:rPr>
        <w:t xml:space="preserve">and </w:t>
      </w:r>
      <w:r w:rsidR="00FA5517" w:rsidRPr="008317E3">
        <w:rPr>
          <w:b/>
          <w:bCs/>
          <w:lang w:val="en-GB" w:eastAsia="en-GB"/>
        </w:rPr>
        <w:t>EU airports legislation</w:t>
      </w:r>
      <w:r w:rsidR="00FA5517" w:rsidRPr="008317E3">
        <w:rPr>
          <w:lang w:val="en-GB" w:eastAsia="en-GB"/>
        </w:rPr>
        <w:t xml:space="preserve"> </w:t>
      </w:r>
      <w:r w:rsidR="00A45B44" w:rsidRPr="008317E3">
        <w:rPr>
          <w:lang w:val="en-GB" w:eastAsia="en-GB"/>
        </w:rPr>
        <w:t>(</w:t>
      </w:r>
      <w:r w:rsidR="00FA5517" w:rsidRPr="008317E3">
        <w:rPr>
          <w:lang w:val="en-GB" w:eastAsia="en-GB"/>
        </w:rPr>
        <w:t>revisions to the Air Services Regulation, the Airport Slot Regulation and the Directive on airport charges</w:t>
      </w:r>
      <w:r w:rsidR="00A45B44" w:rsidRPr="008317E3">
        <w:rPr>
          <w:lang w:val="en-GB" w:eastAsia="en-GB"/>
        </w:rPr>
        <w:t xml:space="preserve">), and </w:t>
      </w:r>
      <w:r w:rsidRPr="008317E3">
        <w:rPr>
          <w:lang w:val="en-GB" w:eastAsia="en-GB"/>
        </w:rPr>
        <w:t xml:space="preserve">the </w:t>
      </w:r>
      <w:r w:rsidR="00A45B44" w:rsidRPr="008317E3">
        <w:rPr>
          <w:lang w:val="en-GB"/>
        </w:rPr>
        <w:t>e</w:t>
      </w:r>
      <w:r w:rsidR="00FA5517" w:rsidRPr="008317E3">
        <w:rPr>
          <w:lang w:val="en-GB"/>
        </w:rPr>
        <w:t xml:space="preserve">valuation of </w:t>
      </w:r>
      <w:r w:rsidR="00FA5517" w:rsidRPr="008317E3">
        <w:rPr>
          <w:b/>
          <w:bCs/>
          <w:lang w:val="en-GB"/>
        </w:rPr>
        <w:t>radioactive waste directives</w:t>
      </w:r>
      <w:r w:rsidR="00A45B44" w:rsidRPr="008317E3">
        <w:rPr>
          <w:lang w:val="en-GB"/>
        </w:rPr>
        <w:t xml:space="preserve">, the </w:t>
      </w:r>
      <w:r w:rsidR="00A45B44" w:rsidRPr="008317E3">
        <w:rPr>
          <w:b/>
          <w:bCs/>
          <w:lang w:val="en-GB"/>
        </w:rPr>
        <w:t>Fishing Vessel Safety Directive</w:t>
      </w:r>
      <w:r w:rsidR="00A45B44" w:rsidRPr="008317E3">
        <w:rPr>
          <w:lang w:val="en-GB"/>
        </w:rPr>
        <w:t xml:space="preserve">, and </w:t>
      </w:r>
      <w:r w:rsidRPr="008317E3">
        <w:rPr>
          <w:lang w:val="en-GB"/>
        </w:rPr>
        <w:t xml:space="preserve">the </w:t>
      </w:r>
      <w:r w:rsidR="00A45B44" w:rsidRPr="008317E3">
        <w:rPr>
          <w:lang w:val="en-GB"/>
        </w:rPr>
        <w:t>e</w:t>
      </w:r>
      <w:r w:rsidR="00FA5517" w:rsidRPr="008317E3">
        <w:rPr>
          <w:lang w:val="en-GB"/>
        </w:rPr>
        <w:t>x-post evaluation of</w:t>
      </w:r>
      <w:r w:rsidRPr="008317E3">
        <w:rPr>
          <w:lang w:val="en-GB"/>
        </w:rPr>
        <w:t xml:space="preserve"> the</w:t>
      </w:r>
      <w:r w:rsidR="00FA5517" w:rsidRPr="008317E3">
        <w:rPr>
          <w:lang w:val="en-GB"/>
        </w:rPr>
        <w:t xml:space="preserve"> </w:t>
      </w:r>
      <w:r w:rsidR="00FA5517" w:rsidRPr="008317E3">
        <w:rPr>
          <w:b/>
          <w:bCs/>
          <w:lang w:val="en-GB"/>
        </w:rPr>
        <w:t>Connecting Europe Facility (CEF) 2014-2020</w:t>
      </w:r>
      <w:r w:rsidR="00A45B44" w:rsidRPr="008317E3">
        <w:rPr>
          <w:lang w:val="en-GB"/>
        </w:rPr>
        <w:t>.</w:t>
      </w:r>
      <w:r w:rsidR="00A45B44" w:rsidRPr="008317E3">
        <w:rPr>
          <w:lang w:val="en-GB" w:eastAsia="en-GB"/>
        </w:rPr>
        <w:t xml:space="preserve"> </w:t>
      </w:r>
      <w:r w:rsidRPr="008317E3">
        <w:rPr>
          <w:color w:val="222222"/>
          <w:shd w:val="clear" w:color="auto" w:fill="FFFFFF"/>
          <w:lang w:val="en-GB"/>
        </w:rPr>
        <w:t>Furthermore</w:t>
      </w:r>
      <w:r w:rsidR="00FA5517" w:rsidRPr="008317E3">
        <w:rPr>
          <w:color w:val="222222"/>
          <w:shd w:val="clear" w:color="auto" w:fill="FFFFFF"/>
          <w:lang w:val="en-GB"/>
        </w:rPr>
        <w:t xml:space="preserve">, the Committee will also work on the forthcoming proposal </w:t>
      </w:r>
      <w:r w:rsidR="008375A0" w:rsidRPr="008317E3">
        <w:rPr>
          <w:color w:val="222222"/>
          <w:shd w:val="clear" w:color="auto" w:fill="FFFFFF"/>
          <w:lang w:val="en-GB"/>
        </w:rPr>
        <w:t xml:space="preserve">reviewing </w:t>
      </w:r>
      <w:r w:rsidR="00FA5517" w:rsidRPr="008317E3">
        <w:rPr>
          <w:color w:val="222222"/>
          <w:shd w:val="clear" w:color="auto" w:fill="FFFFFF"/>
          <w:lang w:val="en-GB"/>
        </w:rPr>
        <w:t xml:space="preserve">the </w:t>
      </w:r>
      <w:r w:rsidR="00FA5517" w:rsidRPr="008317E3">
        <w:rPr>
          <w:b/>
          <w:bCs/>
          <w:color w:val="222222"/>
          <w:shd w:val="clear" w:color="auto" w:fill="FFFFFF"/>
          <w:lang w:val="en-GB"/>
        </w:rPr>
        <w:t>Gas Storage Regulation</w:t>
      </w:r>
      <w:r w:rsidR="00FA5517" w:rsidRPr="008317E3">
        <w:rPr>
          <w:color w:val="222222"/>
          <w:shd w:val="clear" w:color="auto" w:fill="FFFFFF"/>
          <w:lang w:val="en-GB"/>
        </w:rPr>
        <w:t xml:space="preserve">, ahead of its expiry at the end of 2025, to establish the framework for achieving </w:t>
      </w:r>
      <w:r w:rsidR="00A45B44" w:rsidRPr="008317E3">
        <w:rPr>
          <w:color w:val="222222"/>
          <w:shd w:val="clear" w:color="auto" w:fill="FFFFFF"/>
          <w:lang w:val="en-GB"/>
        </w:rPr>
        <w:t xml:space="preserve">future </w:t>
      </w:r>
      <w:r w:rsidR="00FA5517" w:rsidRPr="008317E3">
        <w:rPr>
          <w:color w:val="222222"/>
          <w:shd w:val="clear" w:color="auto" w:fill="FFFFFF"/>
          <w:lang w:val="en-GB"/>
        </w:rPr>
        <w:t>storage targets.</w:t>
      </w:r>
      <w:r w:rsidR="00A45B44" w:rsidRPr="008317E3">
        <w:rPr>
          <w:color w:val="222222"/>
          <w:shd w:val="clear" w:color="auto" w:fill="FFFFFF"/>
          <w:lang w:val="en-GB"/>
        </w:rPr>
        <w:t xml:space="preserve"> </w:t>
      </w:r>
    </w:p>
    <w:p w14:paraId="457A86F8" w14:textId="77777777" w:rsidR="002B6DD6" w:rsidRPr="008317E3" w:rsidRDefault="002B6DD6">
      <w:pPr>
        <w:pStyle w:val="ListParagraph"/>
        <w:ind w:left="0"/>
        <w:rPr>
          <w:color w:val="222222"/>
          <w:shd w:val="clear" w:color="auto" w:fill="FFFFFF"/>
          <w:lang w:val="en-GB"/>
        </w:rPr>
      </w:pPr>
    </w:p>
    <w:p w14:paraId="0CCA6517" w14:textId="5002C95C" w:rsidR="00785C2C" w:rsidRPr="008317E3" w:rsidRDefault="00785C2C" w:rsidP="00E509A6">
      <w:pPr>
        <w:pStyle w:val="ListParagraph"/>
        <w:numPr>
          <w:ilvl w:val="0"/>
          <w:numId w:val="28"/>
        </w:numPr>
        <w:ind w:left="567" w:hanging="567"/>
        <w:rPr>
          <w:b/>
          <w:bCs/>
          <w:lang w:val="en-GB"/>
        </w:rPr>
      </w:pPr>
      <w:r w:rsidRPr="008317E3">
        <w:rPr>
          <w:b/>
          <w:bCs/>
          <w:lang w:val="en-GB"/>
        </w:rPr>
        <w:t>Exploratory opinions</w:t>
      </w:r>
    </w:p>
    <w:p w14:paraId="2A0D4734" w14:textId="77777777" w:rsidR="00A10C08" w:rsidRPr="008317E3" w:rsidRDefault="00A10C08">
      <w:pPr>
        <w:pStyle w:val="ListParagraph"/>
        <w:ind w:left="0"/>
        <w:rPr>
          <w:lang w:val="en-GB"/>
        </w:rPr>
      </w:pPr>
    </w:p>
    <w:p w14:paraId="5081DD5B" w14:textId="15F3BEAB" w:rsidR="00C731B9" w:rsidRPr="008317E3" w:rsidRDefault="00F23999">
      <w:pPr>
        <w:pStyle w:val="ListParagraph"/>
        <w:ind w:left="0"/>
        <w:rPr>
          <w:lang w:val="en-GB"/>
        </w:rPr>
      </w:pPr>
      <w:r w:rsidRPr="008317E3">
        <w:rPr>
          <w:lang w:val="en-GB"/>
        </w:rPr>
        <w:t xml:space="preserve">Continuing with our work on housing, we will </w:t>
      </w:r>
      <w:r w:rsidR="00232EE6" w:rsidRPr="008317E3">
        <w:rPr>
          <w:lang w:val="en-GB"/>
        </w:rPr>
        <w:t>deliver</w:t>
      </w:r>
      <w:r w:rsidRPr="008317E3">
        <w:rPr>
          <w:lang w:val="en-GB"/>
        </w:rPr>
        <w:t xml:space="preserve"> an exploratory opinion </w:t>
      </w:r>
      <w:r w:rsidR="00232EE6" w:rsidRPr="008317E3">
        <w:rPr>
          <w:lang w:val="en-GB"/>
        </w:rPr>
        <w:t xml:space="preserve">on an </w:t>
      </w:r>
      <w:r w:rsidR="00232EE6" w:rsidRPr="008317E3">
        <w:rPr>
          <w:b/>
          <w:bCs/>
          <w:lang w:val="en-GB"/>
        </w:rPr>
        <w:t xml:space="preserve">EU </w:t>
      </w:r>
      <w:r w:rsidR="004A72A9" w:rsidRPr="008317E3">
        <w:rPr>
          <w:b/>
          <w:bCs/>
          <w:lang w:val="en-GB"/>
        </w:rPr>
        <w:t xml:space="preserve">Affordable </w:t>
      </w:r>
      <w:r w:rsidR="00232EE6" w:rsidRPr="008317E3">
        <w:rPr>
          <w:b/>
          <w:bCs/>
          <w:lang w:val="en-GB"/>
        </w:rPr>
        <w:t>Housing Plan</w:t>
      </w:r>
      <w:r w:rsidR="00232EE6" w:rsidRPr="008317E3">
        <w:rPr>
          <w:lang w:val="en-GB"/>
        </w:rPr>
        <w:t xml:space="preserve"> </w:t>
      </w:r>
      <w:r w:rsidRPr="008317E3">
        <w:rPr>
          <w:lang w:val="en-GB"/>
        </w:rPr>
        <w:t>requested by the Danish Presi</w:t>
      </w:r>
      <w:r w:rsidR="008E1A44" w:rsidRPr="008317E3">
        <w:rPr>
          <w:lang w:val="en-GB"/>
        </w:rPr>
        <w:t>d</w:t>
      </w:r>
      <w:r w:rsidRPr="008317E3">
        <w:rPr>
          <w:lang w:val="en-GB"/>
        </w:rPr>
        <w:t>ency</w:t>
      </w:r>
      <w:r w:rsidR="008E1A44" w:rsidRPr="008317E3">
        <w:rPr>
          <w:lang w:val="en-GB"/>
        </w:rPr>
        <w:t xml:space="preserve"> and will contribute to the request concerning </w:t>
      </w:r>
      <w:r w:rsidR="008E1A44" w:rsidRPr="008317E3">
        <w:rPr>
          <w:b/>
          <w:bCs/>
          <w:lang w:val="en-GB"/>
        </w:rPr>
        <w:t>Artificial Intelligence, Big Data and their impact on Rare Diseases</w:t>
      </w:r>
      <w:r w:rsidR="00232EE6" w:rsidRPr="008317E3">
        <w:rPr>
          <w:lang w:val="en-GB"/>
        </w:rPr>
        <w:t>.</w:t>
      </w:r>
      <w:r w:rsidR="00785C2C" w:rsidRPr="008317E3">
        <w:rPr>
          <w:lang w:val="en-GB"/>
        </w:rPr>
        <w:t xml:space="preserve"> </w:t>
      </w:r>
      <w:r w:rsidR="008375A0" w:rsidRPr="008317E3">
        <w:rPr>
          <w:lang w:val="en-GB"/>
        </w:rPr>
        <w:t>Additionally,</w:t>
      </w:r>
      <w:r w:rsidR="00501C8F" w:rsidRPr="008317E3">
        <w:rPr>
          <w:lang w:val="en-GB"/>
        </w:rPr>
        <w:t xml:space="preserve"> </w:t>
      </w:r>
      <w:r w:rsidR="008375A0" w:rsidRPr="008317E3">
        <w:rPr>
          <w:lang w:val="en-GB"/>
        </w:rPr>
        <w:t>t</w:t>
      </w:r>
      <w:r w:rsidR="008E1A44" w:rsidRPr="008317E3">
        <w:rPr>
          <w:lang w:val="en-GB"/>
        </w:rPr>
        <w:t>he section expect</w:t>
      </w:r>
      <w:r w:rsidR="005537D7" w:rsidRPr="008317E3">
        <w:rPr>
          <w:lang w:val="en-GB"/>
        </w:rPr>
        <w:t>s</w:t>
      </w:r>
      <w:r w:rsidR="008E1A44" w:rsidRPr="008317E3">
        <w:rPr>
          <w:lang w:val="en-GB"/>
        </w:rPr>
        <w:t xml:space="preserve"> to</w:t>
      </w:r>
      <w:r w:rsidR="00232EE6" w:rsidRPr="008317E3">
        <w:rPr>
          <w:lang w:val="en-GB"/>
        </w:rPr>
        <w:t xml:space="preserve"> cooperate</w:t>
      </w:r>
      <w:r w:rsidR="00785C2C" w:rsidRPr="008317E3">
        <w:rPr>
          <w:lang w:val="en-GB"/>
        </w:rPr>
        <w:t xml:space="preserve"> with the Commission on energy communities and prosumerism through an exploratory opinion.</w:t>
      </w:r>
    </w:p>
    <w:p w14:paraId="0FFD0016" w14:textId="77777777" w:rsidR="008D2B75" w:rsidRPr="008317E3" w:rsidRDefault="008D2B75">
      <w:pPr>
        <w:pStyle w:val="ListParagraph"/>
        <w:ind w:left="0"/>
        <w:rPr>
          <w:lang w:val="en-GB"/>
        </w:rPr>
      </w:pPr>
    </w:p>
    <w:p w14:paraId="4599B67F" w14:textId="4CBE8989" w:rsidR="003A58C2" w:rsidRPr="00E509A6" w:rsidRDefault="007845BB">
      <w:pPr>
        <w:pStyle w:val="ListParagraph"/>
        <w:numPr>
          <w:ilvl w:val="0"/>
          <w:numId w:val="28"/>
        </w:numPr>
        <w:ind w:left="567" w:hanging="567"/>
        <w:rPr>
          <w:lang w:val="en-GB"/>
        </w:rPr>
      </w:pPr>
      <w:r w:rsidRPr="008317E3">
        <w:rPr>
          <w:b/>
          <w:bCs/>
          <w:lang w:val="en-GB"/>
        </w:rPr>
        <w:t>Own initiative-opinions</w:t>
      </w:r>
    </w:p>
    <w:p w14:paraId="4BCFB681" w14:textId="77777777" w:rsidR="00A10C08" w:rsidRPr="008317E3" w:rsidRDefault="00A10C08">
      <w:pPr>
        <w:pStyle w:val="ListParagraph"/>
        <w:ind w:left="0"/>
        <w:rPr>
          <w:lang w:val="en-GB"/>
        </w:rPr>
      </w:pPr>
    </w:p>
    <w:p w14:paraId="1983DDBA" w14:textId="596054F8" w:rsidR="00A7180F" w:rsidRPr="008317E3" w:rsidRDefault="00A7180F">
      <w:pPr>
        <w:pStyle w:val="Heading2"/>
        <w:numPr>
          <w:ilvl w:val="0"/>
          <w:numId w:val="25"/>
        </w:numPr>
        <w:ind w:left="426" w:hanging="426"/>
        <w:rPr>
          <w:lang w:val="en-GB"/>
        </w:rPr>
      </w:pPr>
      <w:r w:rsidRPr="008317E3">
        <w:rPr>
          <w:lang w:val="en-GB"/>
        </w:rPr>
        <w:t xml:space="preserve">In February the EESC plenary adopted </w:t>
      </w:r>
      <w:r w:rsidR="005143FE" w:rsidRPr="008317E3">
        <w:rPr>
          <w:lang w:val="en-GB"/>
        </w:rPr>
        <w:t>an</w:t>
      </w:r>
      <w:r w:rsidRPr="008317E3">
        <w:rPr>
          <w:lang w:val="en-GB"/>
        </w:rPr>
        <w:t xml:space="preserve"> own-initiative opinion</w:t>
      </w:r>
      <w:r w:rsidR="005143FE" w:rsidRPr="008317E3">
        <w:rPr>
          <w:lang w:val="en-GB"/>
        </w:rPr>
        <w:t xml:space="preserve"> on</w:t>
      </w:r>
      <w:r w:rsidRPr="008317E3">
        <w:rPr>
          <w:lang w:val="en-GB"/>
        </w:rPr>
        <w:t xml:space="preserve"> </w:t>
      </w:r>
      <w:r w:rsidRPr="008317E3">
        <w:rPr>
          <w:b/>
          <w:bCs/>
          <w:lang w:val="en-GB"/>
        </w:rPr>
        <w:t>The physical completion of EU</w:t>
      </w:r>
      <w:r w:rsidR="002E4EDC" w:rsidRPr="008317E3">
        <w:rPr>
          <w:b/>
          <w:bCs/>
          <w:lang w:val="en-GB"/>
        </w:rPr>
        <w:t>’</w:t>
      </w:r>
      <w:r w:rsidRPr="008317E3">
        <w:rPr>
          <w:b/>
          <w:bCs/>
          <w:lang w:val="en-GB"/>
        </w:rPr>
        <w:t>s internal market in the new geopolitical situation</w:t>
      </w:r>
      <w:r w:rsidRPr="008317E3">
        <w:rPr>
          <w:lang w:val="en-GB"/>
        </w:rPr>
        <w:t>, tackling the importance of transport infrastructure for the EU</w:t>
      </w:r>
      <w:r w:rsidR="002E4EDC" w:rsidRPr="008317E3">
        <w:rPr>
          <w:lang w:val="en-GB"/>
        </w:rPr>
        <w:t>’</w:t>
      </w:r>
      <w:r w:rsidRPr="008317E3">
        <w:rPr>
          <w:lang w:val="en-GB"/>
        </w:rPr>
        <w:t>s internal market and competitiveness.</w:t>
      </w:r>
    </w:p>
    <w:p w14:paraId="23F45F80" w14:textId="4BD8178A" w:rsidR="00507D84" w:rsidRPr="008317E3" w:rsidRDefault="00507D84">
      <w:pPr>
        <w:pStyle w:val="Heading2"/>
        <w:numPr>
          <w:ilvl w:val="0"/>
          <w:numId w:val="25"/>
        </w:numPr>
        <w:ind w:left="426" w:hanging="426"/>
        <w:rPr>
          <w:lang w:val="en-GB"/>
        </w:rPr>
      </w:pPr>
      <w:r w:rsidRPr="008317E3">
        <w:rPr>
          <w:lang w:val="en-GB"/>
        </w:rPr>
        <w:t>The Section will draft an own-initiative opinion that contributes to the EESC</w:t>
      </w:r>
      <w:r w:rsidR="002E4EDC" w:rsidRPr="008317E3">
        <w:rPr>
          <w:lang w:val="en-GB"/>
        </w:rPr>
        <w:t>’</w:t>
      </w:r>
      <w:r w:rsidRPr="008317E3">
        <w:rPr>
          <w:lang w:val="en-GB"/>
        </w:rPr>
        <w:t xml:space="preserve">s overarching priority on the cost-of-living crisis, focusing on </w:t>
      </w:r>
      <w:r w:rsidRPr="008317E3">
        <w:rPr>
          <w:b/>
          <w:bCs/>
          <w:lang w:val="en-GB"/>
        </w:rPr>
        <w:t>price hikes in transport, energy and housing, and highlighting the role of quality public services in addressing these challenges</w:t>
      </w:r>
      <w:r w:rsidRPr="008317E3">
        <w:rPr>
          <w:lang w:val="en-GB"/>
        </w:rPr>
        <w:t>.</w:t>
      </w:r>
    </w:p>
    <w:p w14:paraId="13C4F35A" w14:textId="3C0BDC27" w:rsidR="0019637A" w:rsidRPr="008317E3" w:rsidRDefault="006D2609">
      <w:pPr>
        <w:pStyle w:val="Heading2"/>
        <w:numPr>
          <w:ilvl w:val="0"/>
          <w:numId w:val="25"/>
        </w:numPr>
        <w:ind w:left="426" w:hanging="426"/>
        <w:rPr>
          <w:lang w:val="en-GB"/>
        </w:rPr>
      </w:pPr>
      <w:r w:rsidRPr="008317E3">
        <w:rPr>
          <w:lang w:val="en-GB"/>
        </w:rPr>
        <w:t xml:space="preserve">An </w:t>
      </w:r>
      <w:r w:rsidR="007D4240" w:rsidRPr="008317E3">
        <w:rPr>
          <w:lang w:val="en-GB"/>
        </w:rPr>
        <w:t xml:space="preserve">own-initiative opinion </w:t>
      </w:r>
      <w:r w:rsidR="007D4240" w:rsidRPr="008317E3">
        <w:rPr>
          <w:b/>
          <w:bCs/>
          <w:lang w:val="en-GB"/>
        </w:rPr>
        <w:t>Balanced European Energy System</w:t>
      </w:r>
      <w:r w:rsidR="009414A1" w:rsidRPr="008317E3">
        <w:rPr>
          <w:b/>
          <w:bCs/>
          <w:lang w:val="en-GB"/>
        </w:rPr>
        <w:t xml:space="preserve"> </w:t>
      </w:r>
      <w:r w:rsidR="007D4240" w:rsidRPr="008317E3">
        <w:rPr>
          <w:lang w:val="en-GB"/>
        </w:rPr>
        <w:t xml:space="preserve">will </w:t>
      </w:r>
      <w:r w:rsidR="009414A1" w:rsidRPr="008317E3">
        <w:rPr>
          <w:lang w:val="en-GB"/>
        </w:rPr>
        <w:t xml:space="preserve">explore how to </w:t>
      </w:r>
      <w:r w:rsidR="007D4240" w:rsidRPr="008317E3">
        <w:rPr>
          <w:lang w:val="en-GB"/>
        </w:rPr>
        <w:t>integrat</w:t>
      </w:r>
      <w:r w:rsidR="009414A1" w:rsidRPr="008317E3">
        <w:rPr>
          <w:lang w:val="en-GB"/>
        </w:rPr>
        <w:t>e</w:t>
      </w:r>
      <w:r w:rsidR="007D4240" w:rsidRPr="008317E3">
        <w:rPr>
          <w:lang w:val="en-GB"/>
        </w:rPr>
        <w:t xml:space="preserve"> weather-dependent energy sources into the energy system </w:t>
      </w:r>
      <w:r w:rsidR="009414A1" w:rsidRPr="008317E3">
        <w:rPr>
          <w:lang w:val="en-GB"/>
        </w:rPr>
        <w:t>and its impact on</w:t>
      </w:r>
      <w:r w:rsidR="007D4240" w:rsidRPr="008317E3">
        <w:rPr>
          <w:lang w:val="en-GB"/>
        </w:rPr>
        <w:t xml:space="preserve"> technological innovation and economic growth, </w:t>
      </w:r>
      <w:r w:rsidR="005143FE" w:rsidRPr="008317E3">
        <w:rPr>
          <w:lang w:val="en-GB"/>
        </w:rPr>
        <w:t xml:space="preserve">the </w:t>
      </w:r>
      <w:r w:rsidR="007D4240" w:rsidRPr="008317E3">
        <w:rPr>
          <w:lang w:val="en-GB"/>
        </w:rPr>
        <w:t>EU</w:t>
      </w:r>
      <w:r w:rsidR="002E4EDC" w:rsidRPr="008317E3">
        <w:rPr>
          <w:lang w:val="en-GB"/>
        </w:rPr>
        <w:t>’</w:t>
      </w:r>
      <w:r w:rsidR="007D4240" w:rsidRPr="008317E3">
        <w:rPr>
          <w:lang w:val="en-GB"/>
        </w:rPr>
        <w:t>s global competitiveness in the green transition</w:t>
      </w:r>
      <w:r w:rsidR="009414A1" w:rsidRPr="008317E3">
        <w:rPr>
          <w:lang w:val="en-GB"/>
        </w:rPr>
        <w:t xml:space="preserve"> and </w:t>
      </w:r>
      <w:r w:rsidR="007D4240" w:rsidRPr="008317E3">
        <w:rPr>
          <w:lang w:val="en-GB"/>
        </w:rPr>
        <w:t xml:space="preserve">energy poverty. </w:t>
      </w:r>
    </w:p>
    <w:p w14:paraId="3E5B768C" w14:textId="5ED5B003" w:rsidR="00541A44" w:rsidRPr="008317E3" w:rsidRDefault="001E2AF8">
      <w:pPr>
        <w:pStyle w:val="ListParagraph"/>
        <w:numPr>
          <w:ilvl w:val="0"/>
          <w:numId w:val="25"/>
        </w:numPr>
        <w:ind w:left="426" w:hanging="426"/>
        <w:rPr>
          <w:lang w:val="en-GB"/>
        </w:rPr>
      </w:pPr>
      <w:r w:rsidRPr="008317E3">
        <w:rPr>
          <w:b/>
          <w:bCs/>
          <w:lang w:val="en-GB"/>
        </w:rPr>
        <w:t>Planning sustainable urban mobility</w:t>
      </w:r>
      <w:r w:rsidRPr="008317E3">
        <w:rPr>
          <w:lang w:val="en-GB"/>
        </w:rPr>
        <w:t xml:space="preserve"> is a top challenge for cities, especially given financial constraints. The opinion will explore the current state of </w:t>
      </w:r>
      <w:r w:rsidR="005143FE" w:rsidRPr="008317E3">
        <w:rPr>
          <w:lang w:val="en-GB"/>
        </w:rPr>
        <w:t xml:space="preserve">implementation of the </w:t>
      </w:r>
      <w:r w:rsidRPr="008317E3">
        <w:rPr>
          <w:lang w:val="en-GB"/>
        </w:rPr>
        <w:t>Sustainable Urban Mobility Plans, highlight tools to support Member States and local authorities, and emphasi</w:t>
      </w:r>
      <w:r w:rsidR="005143FE" w:rsidRPr="008317E3">
        <w:rPr>
          <w:lang w:val="en-GB"/>
        </w:rPr>
        <w:t>s</w:t>
      </w:r>
      <w:r w:rsidRPr="008317E3">
        <w:rPr>
          <w:lang w:val="en-GB"/>
        </w:rPr>
        <w:t>e the importance of financial, organi</w:t>
      </w:r>
      <w:r w:rsidR="005143FE" w:rsidRPr="008317E3">
        <w:rPr>
          <w:lang w:val="en-GB"/>
        </w:rPr>
        <w:t>s</w:t>
      </w:r>
      <w:r w:rsidRPr="008317E3">
        <w:rPr>
          <w:lang w:val="en-GB"/>
        </w:rPr>
        <w:t>ational, and participatory resources.</w:t>
      </w:r>
    </w:p>
    <w:p w14:paraId="096EA558" w14:textId="46CE3C67" w:rsidR="009414A1" w:rsidRPr="008317E3" w:rsidRDefault="00FA2B9E">
      <w:pPr>
        <w:pStyle w:val="ListParagraph"/>
        <w:numPr>
          <w:ilvl w:val="0"/>
          <w:numId w:val="25"/>
        </w:numPr>
        <w:ind w:left="426" w:hanging="426"/>
        <w:rPr>
          <w:lang w:val="en-GB"/>
        </w:rPr>
      </w:pPr>
      <w:r w:rsidRPr="008317E3">
        <w:rPr>
          <w:lang w:val="en-GB"/>
        </w:rPr>
        <w:t xml:space="preserve">An own-initiative opinion will tackle </w:t>
      </w:r>
      <w:r w:rsidR="00BB1465" w:rsidRPr="008317E3">
        <w:rPr>
          <w:b/>
          <w:bCs/>
          <w:lang w:val="en-GB"/>
        </w:rPr>
        <w:t>the</w:t>
      </w:r>
      <w:r w:rsidR="00722E3E" w:rsidRPr="008317E3">
        <w:rPr>
          <w:b/>
          <w:bCs/>
          <w:lang w:val="en-GB"/>
        </w:rPr>
        <w:t xml:space="preserve"> role of services of general interest for competitiveness, social cohesion and democracy in the European Union</w:t>
      </w:r>
      <w:r w:rsidR="005143FE" w:rsidRPr="008317E3">
        <w:rPr>
          <w:b/>
          <w:bCs/>
          <w:lang w:val="en-GB"/>
        </w:rPr>
        <w:t>.</w:t>
      </w:r>
    </w:p>
    <w:p w14:paraId="72EBE380" w14:textId="77777777" w:rsidR="0019637A" w:rsidRPr="008317E3" w:rsidRDefault="0019637A">
      <w:pPr>
        <w:rPr>
          <w:b/>
          <w:bCs/>
          <w:lang w:val="en-GB"/>
        </w:rPr>
      </w:pPr>
    </w:p>
    <w:p w14:paraId="1AF9D209" w14:textId="20E22AFB" w:rsidR="00FB20BC" w:rsidRPr="008317E3" w:rsidRDefault="0019637A" w:rsidP="00E509A6">
      <w:pPr>
        <w:pStyle w:val="ListParagraph"/>
        <w:keepNext/>
        <w:keepLines/>
        <w:numPr>
          <w:ilvl w:val="0"/>
          <w:numId w:val="28"/>
        </w:numPr>
        <w:ind w:left="567" w:hanging="567"/>
        <w:rPr>
          <w:b/>
          <w:bCs/>
          <w:lang w:val="en-GB"/>
        </w:rPr>
      </w:pPr>
      <w:r w:rsidRPr="008317E3">
        <w:rPr>
          <w:b/>
          <w:bCs/>
          <w:lang w:val="en-GB"/>
        </w:rPr>
        <w:t>Events</w:t>
      </w:r>
    </w:p>
    <w:p w14:paraId="27302EA2" w14:textId="77777777" w:rsidR="005143FE" w:rsidRPr="00E509A6" w:rsidRDefault="005143FE" w:rsidP="00E509A6">
      <w:pPr>
        <w:pStyle w:val="ListParagraph"/>
        <w:keepNext/>
        <w:keepLines/>
        <w:ind w:left="0"/>
        <w:rPr>
          <w:lang w:val="en-GB"/>
        </w:rPr>
      </w:pPr>
    </w:p>
    <w:p w14:paraId="285FD9CB" w14:textId="188E24C8" w:rsidR="006D2609" w:rsidRPr="008317E3" w:rsidRDefault="006D2609">
      <w:pPr>
        <w:pStyle w:val="ListParagraph"/>
        <w:numPr>
          <w:ilvl w:val="0"/>
          <w:numId w:val="24"/>
        </w:numPr>
        <w:ind w:left="426" w:hanging="426"/>
        <w:rPr>
          <w:lang w:val="en-GB"/>
        </w:rPr>
      </w:pPr>
      <w:r w:rsidRPr="008317E3">
        <w:rPr>
          <w:lang w:val="en-GB"/>
        </w:rPr>
        <w:t>On 10 April, a joint conference with the Polish Ministry of Health</w:t>
      </w:r>
      <w:r w:rsidR="005143FE" w:rsidRPr="008317E3">
        <w:rPr>
          <w:lang w:val="en-GB"/>
        </w:rPr>
        <w:t xml:space="preserve"> entitled</w:t>
      </w:r>
      <w:r w:rsidRPr="008317E3">
        <w:rPr>
          <w:lang w:val="en-GB"/>
        </w:rPr>
        <w:t xml:space="preserve"> </w:t>
      </w:r>
      <w:r w:rsidRPr="008317E3">
        <w:rPr>
          <w:b/>
          <w:bCs/>
          <w:lang w:val="en-GB"/>
        </w:rPr>
        <w:t>Towards an EU Action Plan on Rare Diseases: National Plans and European Cooperation</w:t>
      </w:r>
      <w:r w:rsidRPr="008317E3">
        <w:rPr>
          <w:lang w:val="en-GB"/>
        </w:rPr>
        <w:t xml:space="preserve"> will be </w:t>
      </w:r>
      <w:r w:rsidR="005143FE" w:rsidRPr="008317E3">
        <w:rPr>
          <w:lang w:val="en-GB"/>
        </w:rPr>
        <w:t xml:space="preserve">held </w:t>
      </w:r>
      <w:r w:rsidRPr="008317E3">
        <w:rPr>
          <w:lang w:val="en-GB"/>
        </w:rPr>
        <w:t>in Warsaw as part of the program</w:t>
      </w:r>
      <w:r w:rsidR="005143FE" w:rsidRPr="008317E3">
        <w:rPr>
          <w:lang w:val="en-GB"/>
        </w:rPr>
        <w:t>me</w:t>
      </w:r>
      <w:r w:rsidR="000F27AD" w:rsidRPr="008317E3">
        <w:rPr>
          <w:lang w:val="en-GB"/>
        </w:rPr>
        <w:t xml:space="preserve"> </w:t>
      </w:r>
      <w:r w:rsidRPr="008317E3">
        <w:rPr>
          <w:lang w:val="en-GB"/>
        </w:rPr>
        <w:t>of the Polish Presidency of the EU, to advance European efforts and commitments in the field of rare diseases.</w:t>
      </w:r>
    </w:p>
    <w:p w14:paraId="48176433" w14:textId="2025BAD0" w:rsidR="00820983" w:rsidRPr="008317E3" w:rsidRDefault="006D2609">
      <w:pPr>
        <w:pStyle w:val="ListParagraph"/>
        <w:numPr>
          <w:ilvl w:val="0"/>
          <w:numId w:val="24"/>
        </w:numPr>
        <w:ind w:left="426" w:hanging="426"/>
        <w:rPr>
          <w:lang w:val="en-GB"/>
        </w:rPr>
      </w:pPr>
      <w:r w:rsidRPr="008317E3">
        <w:rPr>
          <w:lang w:val="en-GB"/>
        </w:rPr>
        <w:lastRenderedPageBreak/>
        <w:t>On 11 June, t</w:t>
      </w:r>
      <w:r w:rsidR="0019637A" w:rsidRPr="008317E3">
        <w:rPr>
          <w:lang w:val="en-GB"/>
        </w:rPr>
        <w:t xml:space="preserve">he </w:t>
      </w:r>
      <w:r w:rsidR="00A85746" w:rsidRPr="008317E3">
        <w:rPr>
          <w:b/>
          <w:bCs/>
          <w:lang w:val="en-GB"/>
        </w:rPr>
        <w:t>5</w:t>
      </w:r>
      <w:r w:rsidR="0019637A" w:rsidRPr="00E509A6">
        <w:rPr>
          <w:b/>
          <w:bCs/>
          <w:lang w:val="en-GB"/>
        </w:rPr>
        <w:t>th</w:t>
      </w:r>
      <w:r w:rsidR="00A85746" w:rsidRPr="008317E3">
        <w:rPr>
          <w:b/>
          <w:bCs/>
          <w:lang w:val="en-GB"/>
        </w:rPr>
        <w:t xml:space="preserve"> </w:t>
      </w:r>
      <w:r w:rsidR="0019637A" w:rsidRPr="008317E3">
        <w:rPr>
          <w:b/>
          <w:bCs/>
          <w:lang w:val="en-GB"/>
        </w:rPr>
        <w:t>EESC Conference on energy affordability</w:t>
      </w:r>
      <w:r w:rsidR="0019637A" w:rsidRPr="008317E3">
        <w:rPr>
          <w:lang w:val="en-GB"/>
        </w:rPr>
        <w:t xml:space="preserve"> </w:t>
      </w:r>
      <w:r w:rsidR="00A85746" w:rsidRPr="008317E3">
        <w:rPr>
          <w:lang w:val="en-GB"/>
        </w:rPr>
        <w:t xml:space="preserve">will </w:t>
      </w:r>
      <w:r w:rsidR="008375A0" w:rsidRPr="008317E3">
        <w:rPr>
          <w:lang w:val="en-GB"/>
        </w:rPr>
        <w:t>take stock of the Action</w:t>
      </w:r>
      <w:r w:rsidR="0019637A" w:rsidRPr="008317E3">
        <w:rPr>
          <w:lang w:val="en-GB"/>
        </w:rPr>
        <w:t xml:space="preserve"> Plan on </w:t>
      </w:r>
      <w:r w:rsidR="008375A0" w:rsidRPr="008317E3">
        <w:rPr>
          <w:lang w:val="en-GB"/>
        </w:rPr>
        <w:t>A</w:t>
      </w:r>
      <w:r w:rsidR="0019637A" w:rsidRPr="008317E3">
        <w:rPr>
          <w:lang w:val="en-GB"/>
        </w:rPr>
        <w:t xml:space="preserve">ffordable </w:t>
      </w:r>
      <w:r w:rsidR="008375A0" w:rsidRPr="008317E3">
        <w:rPr>
          <w:lang w:val="en-GB"/>
        </w:rPr>
        <w:t>E</w:t>
      </w:r>
      <w:r w:rsidR="0019637A" w:rsidRPr="008317E3">
        <w:rPr>
          <w:lang w:val="en-GB"/>
        </w:rPr>
        <w:t>nergy</w:t>
      </w:r>
      <w:r w:rsidR="008375A0" w:rsidRPr="008317E3">
        <w:rPr>
          <w:lang w:val="en-GB"/>
        </w:rPr>
        <w:t>, especially shared concerns and criticalities. The common goal should be</w:t>
      </w:r>
      <w:r w:rsidR="0019637A" w:rsidRPr="008317E3">
        <w:rPr>
          <w:lang w:val="en-GB"/>
        </w:rPr>
        <w:t xml:space="preserve"> specific policies to mitigate the impact of rising energy prices on low-income households, </w:t>
      </w:r>
      <w:r w:rsidR="0097033B" w:rsidRPr="008317E3">
        <w:rPr>
          <w:lang w:val="en-GB"/>
        </w:rPr>
        <w:t xml:space="preserve">including </w:t>
      </w:r>
      <w:r w:rsidR="0019637A" w:rsidRPr="008317E3">
        <w:rPr>
          <w:lang w:val="en-GB"/>
        </w:rPr>
        <w:t>with a gender-sensitive approach</w:t>
      </w:r>
      <w:r w:rsidR="008375A0" w:rsidRPr="008317E3">
        <w:rPr>
          <w:lang w:val="en-GB"/>
        </w:rPr>
        <w:t>. The event will also develop recommendations for</w:t>
      </w:r>
      <w:r w:rsidR="0082060B" w:rsidRPr="008317E3">
        <w:rPr>
          <w:lang w:val="en-GB"/>
        </w:rPr>
        <w:t xml:space="preserve"> </w:t>
      </w:r>
      <w:r w:rsidR="008E1FA3" w:rsidRPr="008317E3">
        <w:rPr>
          <w:lang w:val="en-GB"/>
        </w:rPr>
        <w:t xml:space="preserve">the </w:t>
      </w:r>
      <w:r w:rsidR="0082060B" w:rsidRPr="008317E3">
        <w:rPr>
          <w:lang w:val="en-GB"/>
        </w:rPr>
        <w:t>forthcoming Citizen</w:t>
      </w:r>
      <w:r w:rsidR="005143FE" w:rsidRPr="008317E3">
        <w:rPr>
          <w:lang w:val="en-GB"/>
        </w:rPr>
        <w:t>s’</w:t>
      </w:r>
      <w:r w:rsidR="0082060B" w:rsidRPr="008317E3">
        <w:rPr>
          <w:lang w:val="en-GB"/>
        </w:rPr>
        <w:t xml:space="preserve"> Energy Package</w:t>
      </w:r>
      <w:r w:rsidR="0019637A" w:rsidRPr="008317E3">
        <w:rPr>
          <w:lang w:val="en-GB"/>
        </w:rPr>
        <w:t>.</w:t>
      </w:r>
    </w:p>
    <w:p w14:paraId="4F92733B" w14:textId="627C9334" w:rsidR="006D2609" w:rsidRPr="008317E3" w:rsidRDefault="006D2609">
      <w:pPr>
        <w:pStyle w:val="ListParagraph"/>
        <w:numPr>
          <w:ilvl w:val="0"/>
          <w:numId w:val="24"/>
        </w:numPr>
        <w:ind w:left="426" w:hanging="426"/>
        <w:rPr>
          <w:lang w:val="en-GB"/>
        </w:rPr>
      </w:pPr>
      <w:r w:rsidRPr="008317E3">
        <w:rPr>
          <w:lang w:val="en-GB"/>
        </w:rPr>
        <w:t xml:space="preserve">In the first semester, a conference will take place in Vienna, focusing on the </w:t>
      </w:r>
      <w:r w:rsidRPr="008317E3">
        <w:rPr>
          <w:b/>
          <w:bCs/>
          <w:lang w:val="en-GB"/>
        </w:rPr>
        <w:t>European Affordable Housing Plan</w:t>
      </w:r>
      <w:r w:rsidRPr="008317E3">
        <w:rPr>
          <w:lang w:val="en-GB"/>
        </w:rPr>
        <w:t xml:space="preserve">, </w:t>
      </w:r>
      <w:r w:rsidR="005143FE" w:rsidRPr="008317E3">
        <w:rPr>
          <w:lang w:val="en-GB"/>
        </w:rPr>
        <w:t>S</w:t>
      </w:r>
      <w:r w:rsidRPr="008317E3">
        <w:rPr>
          <w:lang w:val="en-GB"/>
        </w:rPr>
        <w:t xml:space="preserve">tate aid rules, housing support measures, reduction of construction costs, </w:t>
      </w:r>
      <w:r w:rsidR="005143FE" w:rsidRPr="008317E3">
        <w:rPr>
          <w:lang w:val="en-GB"/>
        </w:rPr>
        <w:t xml:space="preserve">and </w:t>
      </w:r>
      <w:r w:rsidRPr="008317E3">
        <w:rPr>
          <w:lang w:val="en-GB"/>
        </w:rPr>
        <w:t>energy and transport poverty.</w:t>
      </w:r>
    </w:p>
    <w:p w14:paraId="0F5D202A" w14:textId="7EE04DDD" w:rsidR="00257671" w:rsidRPr="008317E3" w:rsidRDefault="006D2609">
      <w:pPr>
        <w:pStyle w:val="ListParagraph"/>
        <w:numPr>
          <w:ilvl w:val="0"/>
          <w:numId w:val="24"/>
        </w:numPr>
        <w:ind w:left="426" w:hanging="426"/>
        <w:rPr>
          <w:lang w:val="en-GB"/>
        </w:rPr>
      </w:pPr>
      <w:r w:rsidRPr="008317E3">
        <w:rPr>
          <w:lang w:val="en-GB"/>
        </w:rPr>
        <w:t xml:space="preserve">In September, under </w:t>
      </w:r>
      <w:r w:rsidR="005143FE" w:rsidRPr="008317E3">
        <w:rPr>
          <w:lang w:val="en-GB"/>
        </w:rPr>
        <w:t xml:space="preserve">the </w:t>
      </w:r>
      <w:r w:rsidRPr="008317E3">
        <w:rPr>
          <w:lang w:val="en-GB"/>
        </w:rPr>
        <w:t xml:space="preserve">Danish Presidency of the EU, </w:t>
      </w:r>
      <w:r w:rsidR="00257671" w:rsidRPr="008317E3">
        <w:rPr>
          <w:lang w:val="en-GB"/>
        </w:rPr>
        <w:t xml:space="preserve">a joint event </w:t>
      </w:r>
      <w:r w:rsidRPr="008317E3">
        <w:rPr>
          <w:lang w:val="en-GB"/>
        </w:rPr>
        <w:t xml:space="preserve">will be organised </w:t>
      </w:r>
      <w:r w:rsidR="00257671" w:rsidRPr="008317E3">
        <w:rPr>
          <w:lang w:val="en-GB"/>
        </w:rPr>
        <w:t xml:space="preserve">with a Danish </w:t>
      </w:r>
      <w:r w:rsidR="00F82E65" w:rsidRPr="008317E3">
        <w:rPr>
          <w:lang w:val="en-GB"/>
        </w:rPr>
        <w:t xml:space="preserve">Novo Nordisk </w:t>
      </w:r>
      <w:r w:rsidR="00257671" w:rsidRPr="008317E3">
        <w:rPr>
          <w:lang w:val="en-GB"/>
        </w:rPr>
        <w:t xml:space="preserve">Foundation </w:t>
      </w:r>
      <w:r w:rsidR="00CF3428" w:rsidRPr="008317E3">
        <w:rPr>
          <w:lang w:val="en-GB"/>
        </w:rPr>
        <w:t>on</w:t>
      </w:r>
      <w:r w:rsidR="00257671" w:rsidRPr="008317E3">
        <w:rPr>
          <w:b/>
          <w:bCs/>
          <w:lang w:val="en-GB"/>
        </w:rPr>
        <w:t xml:space="preserve"> A</w:t>
      </w:r>
      <w:r w:rsidR="00CF3428" w:rsidRPr="008317E3">
        <w:rPr>
          <w:b/>
          <w:bCs/>
          <w:lang w:val="en-GB"/>
        </w:rPr>
        <w:t xml:space="preserve">rtificial </w:t>
      </w:r>
      <w:r w:rsidR="00257671" w:rsidRPr="008317E3">
        <w:rPr>
          <w:b/>
          <w:bCs/>
          <w:lang w:val="en-GB"/>
        </w:rPr>
        <w:t>I</w:t>
      </w:r>
      <w:r w:rsidR="00CF3428" w:rsidRPr="008317E3">
        <w:rPr>
          <w:b/>
          <w:bCs/>
          <w:lang w:val="en-GB"/>
        </w:rPr>
        <w:t>ntelligence</w:t>
      </w:r>
      <w:r w:rsidR="00257671" w:rsidRPr="008317E3">
        <w:rPr>
          <w:b/>
          <w:bCs/>
          <w:lang w:val="en-GB"/>
        </w:rPr>
        <w:t xml:space="preserve"> and Quantum Computing</w:t>
      </w:r>
      <w:r w:rsidR="00CF3428" w:rsidRPr="008317E3">
        <w:rPr>
          <w:b/>
          <w:bCs/>
          <w:lang w:val="en-GB"/>
        </w:rPr>
        <w:t>.</w:t>
      </w:r>
    </w:p>
    <w:p w14:paraId="37C855E9" w14:textId="77777777" w:rsidR="00A85746" w:rsidRPr="008317E3" w:rsidRDefault="00A85746">
      <w:pPr>
        <w:rPr>
          <w:lang w:val="en-GB"/>
        </w:rPr>
      </w:pPr>
    </w:p>
    <w:p w14:paraId="2A066C23" w14:textId="7E273E1F" w:rsidR="007845BB" w:rsidRPr="008317E3" w:rsidRDefault="00215346" w:rsidP="00E509A6">
      <w:pPr>
        <w:pStyle w:val="ListParagraph"/>
        <w:numPr>
          <w:ilvl w:val="0"/>
          <w:numId w:val="28"/>
        </w:numPr>
        <w:ind w:left="567" w:hanging="567"/>
        <w:rPr>
          <w:b/>
          <w:bCs/>
          <w:lang w:val="en-GB"/>
        </w:rPr>
      </w:pPr>
      <w:r w:rsidRPr="008317E3">
        <w:rPr>
          <w:b/>
          <w:bCs/>
          <w:lang w:val="en-GB"/>
        </w:rPr>
        <w:t>Permanent Groups</w:t>
      </w:r>
    </w:p>
    <w:p w14:paraId="0E9BCD74" w14:textId="77777777" w:rsidR="005143FE" w:rsidRPr="008317E3" w:rsidRDefault="005143FE" w:rsidP="00E509A6">
      <w:pPr>
        <w:rPr>
          <w:lang w:val="en-GB"/>
        </w:rPr>
      </w:pPr>
    </w:p>
    <w:p w14:paraId="055DADB8" w14:textId="347EAAF2" w:rsidR="007845BB" w:rsidRPr="008317E3" w:rsidRDefault="00F91364">
      <w:pPr>
        <w:rPr>
          <w:lang w:val="en-GB"/>
        </w:rPr>
      </w:pPr>
      <w:r w:rsidRPr="008317E3">
        <w:rPr>
          <w:lang w:val="en-GB"/>
        </w:rPr>
        <w:t>T</w:t>
      </w:r>
      <w:r w:rsidR="007845BB" w:rsidRPr="008317E3">
        <w:rPr>
          <w:lang w:val="en-GB"/>
        </w:rPr>
        <w:t xml:space="preserve">he </w:t>
      </w:r>
      <w:r w:rsidR="007845BB" w:rsidRPr="008317E3">
        <w:rPr>
          <w:b/>
          <w:bCs/>
          <w:lang w:val="en-GB"/>
        </w:rPr>
        <w:t>Permanent Group on Energy</w:t>
      </w:r>
      <w:r w:rsidR="007845BB" w:rsidRPr="008317E3">
        <w:rPr>
          <w:lang w:val="en-GB"/>
        </w:rPr>
        <w:t xml:space="preserve"> will hold one meeting </w:t>
      </w:r>
      <w:r w:rsidR="00102516" w:rsidRPr="008317E3">
        <w:rPr>
          <w:lang w:val="en-GB"/>
        </w:rPr>
        <w:t>with</w:t>
      </w:r>
      <w:r w:rsidR="007845BB" w:rsidRPr="008317E3">
        <w:rPr>
          <w:lang w:val="en-GB"/>
        </w:rPr>
        <w:t xml:space="preserve"> key energy sector stakeholders to feed into the subsequent work of the TEN Section. </w:t>
      </w:r>
      <w:r w:rsidR="00102516" w:rsidRPr="008317E3">
        <w:rPr>
          <w:lang w:val="en-GB"/>
        </w:rPr>
        <w:t xml:space="preserve">A second meeting of the Group could be envisaged </w:t>
      </w:r>
      <w:r w:rsidR="007845BB" w:rsidRPr="008317E3">
        <w:rPr>
          <w:lang w:val="en-GB"/>
        </w:rPr>
        <w:t xml:space="preserve">as a follow-up to the visit to the </w:t>
      </w:r>
      <w:r w:rsidR="00F637C8" w:rsidRPr="008317E3">
        <w:rPr>
          <w:lang w:val="en-GB"/>
        </w:rPr>
        <w:t xml:space="preserve">Joint Research Centre </w:t>
      </w:r>
      <w:r w:rsidR="007845BB" w:rsidRPr="008317E3">
        <w:rPr>
          <w:lang w:val="en-GB"/>
        </w:rPr>
        <w:t>facilities in Petten in 2024</w:t>
      </w:r>
      <w:r w:rsidR="00102516" w:rsidRPr="008317E3">
        <w:rPr>
          <w:lang w:val="en-GB"/>
        </w:rPr>
        <w:t xml:space="preserve">, with a </w:t>
      </w:r>
      <w:r w:rsidR="007845BB" w:rsidRPr="008317E3">
        <w:rPr>
          <w:lang w:val="en-GB"/>
        </w:rPr>
        <w:t xml:space="preserve">focus on </w:t>
      </w:r>
      <w:r w:rsidR="00B5117B" w:rsidRPr="008317E3">
        <w:rPr>
          <w:lang w:val="en-GB"/>
        </w:rPr>
        <w:t>small modular reactors</w:t>
      </w:r>
      <w:r w:rsidR="007845BB" w:rsidRPr="008317E3">
        <w:rPr>
          <w:lang w:val="en-GB"/>
        </w:rPr>
        <w:t>.</w:t>
      </w:r>
    </w:p>
    <w:p w14:paraId="53BF0E54" w14:textId="77777777" w:rsidR="005143FE" w:rsidRPr="008317E3" w:rsidRDefault="005143FE" w:rsidP="00E509A6">
      <w:pPr>
        <w:rPr>
          <w:i/>
          <w:iCs/>
          <w:lang w:val="en-GB"/>
        </w:rPr>
      </w:pPr>
    </w:p>
    <w:p w14:paraId="141FFC48" w14:textId="428720AD" w:rsidR="007845BB" w:rsidRPr="008317E3" w:rsidRDefault="007845BB" w:rsidP="00E509A6">
      <w:pPr>
        <w:rPr>
          <w:lang w:val="en-GB"/>
        </w:rPr>
      </w:pPr>
      <w:r w:rsidRPr="008317E3">
        <w:rPr>
          <w:lang w:val="en-GB"/>
        </w:rPr>
        <w:t xml:space="preserve">The president of the </w:t>
      </w:r>
      <w:r w:rsidRPr="008317E3">
        <w:rPr>
          <w:b/>
          <w:bCs/>
          <w:lang w:val="en-GB"/>
        </w:rPr>
        <w:t>Permanent Group on Transport</w:t>
      </w:r>
      <w:r w:rsidRPr="008317E3">
        <w:rPr>
          <w:lang w:val="en-GB"/>
        </w:rPr>
        <w:t xml:space="preserve"> will participate as speaker in the international conference </w:t>
      </w:r>
      <w:r w:rsidRPr="008317E3">
        <w:rPr>
          <w:b/>
          <w:bCs/>
          <w:lang w:val="en-GB"/>
        </w:rPr>
        <w:t>A new era of European Transport – challenges of the TEN-T policy</w:t>
      </w:r>
      <w:r w:rsidR="00102516" w:rsidRPr="008317E3">
        <w:rPr>
          <w:b/>
          <w:bCs/>
          <w:lang w:val="en-GB"/>
        </w:rPr>
        <w:t xml:space="preserve"> </w:t>
      </w:r>
      <w:r w:rsidRPr="008317E3">
        <w:rPr>
          <w:lang w:val="en-GB"/>
        </w:rPr>
        <w:t>in Łódź</w:t>
      </w:r>
      <w:r w:rsidR="00102516" w:rsidRPr="008317E3">
        <w:rPr>
          <w:lang w:val="en-GB"/>
        </w:rPr>
        <w:t>,</w:t>
      </w:r>
      <w:r w:rsidRPr="008317E3">
        <w:rPr>
          <w:lang w:val="en-GB"/>
        </w:rPr>
        <w:t xml:space="preserve"> </w:t>
      </w:r>
      <w:r w:rsidR="00102516" w:rsidRPr="008317E3">
        <w:rPr>
          <w:lang w:val="en-GB"/>
        </w:rPr>
        <w:t>during the</w:t>
      </w:r>
      <w:r w:rsidRPr="008317E3">
        <w:rPr>
          <w:lang w:val="en-GB"/>
        </w:rPr>
        <w:t xml:space="preserve"> Polish presidency</w:t>
      </w:r>
      <w:r w:rsidR="00360969" w:rsidRPr="008317E3">
        <w:rPr>
          <w:lang w:val="en-GB"/>
        </w:rPr>
        <w:t>, focusing on</w:t>
      </w:r>
      <w:r w:rsidR="00102516" w:rsidRPr="008317E3">
        <w:rPr>
          <w:lang w:val="en-GB"/>
        </w:rPr>
        <w:t xml:space="preserve"> </w:t>
      </w:r>
      <w:r w:rsidRPr="008317E3">
        <w:rPr>
          <w:lang w:val="en-GB"/>
        </w:rPr>
        <w:t xml:space="preserve">transport financing in the </w:t>
      </w:r>
      <w:r w:rsidR="00360969" w:rsidRPr="008317E3">
        <w:rPr>
          <w:lang w:val="en-GB"/>
        </w:rPr>
        <w:t>next</w:t>
      </w:r>
      <w:r w:rsidRPr="008317E3">
        <w:rPr>
          <w:lang w:val="en-GB"/>
        </w:rPr>
        <w:t xml:space="preserve"> Multiannual Financial Framework.</w:t>
      </w:r>
      <w:r w:rsidR="00F91364" w:rsidRPr="008317E3">
        <w:rPr>
          <w:lang w:val="en-GB"/>
        </w:rPr>
        <w:t xml:space="preserve"> A TEN delegation</w:t>
      </w:r>
      <w:r w:rsidRPr="008317E3">
        <w:rPr>
          <w:lang w:val="en-GB"/>
        </w:rPr>
        <w:t xml:space="preserve"> will participate in the </w:t>
      </w:r>
      <w:r w:rsidRPr="008317E3">
        <w:rPr>
          <w:b/>
          <w:bCs/>
          <w:lang w:val="en-GB"/>
        </w:rPr>
        <w:t>Annual Summit</w:t>
      </w:r>
      <w:r w:rsidR="00F91364" w:rsidRPr="008317E3">
        <w:rPr>
          <w:b/>
          <w:bCs/>
          <w:lang w:val="en-GB"/>
        </w:rPr>
        <w:t xml:space="preserve"> of the International Transport Forum</w:t>
      </w:r>
      <w:r w:rsidRPr="008317E3">
        <w:rPr>
          <w:lang w:val="en-GB"/>
        </w:rPr>
        <w:t>, the world</w:t>
      </w:r>
      <w:r w:rsidR="002E4EDC" w:rsidRPr="008317E3">
        <w:rPr>
          <w:lang w:val="en-GB"/>
        </w:rPr>
        <w:t>’</w:t>
      </w:r>
      <w:r w:rsidRPr="008317E3">
        <w:rPr>
          <w:lang w:val="en-GB"/>
        </w:rPr>
        <w:t>s largest gathering of transport ministers and the biggest global platform for dialogue on transport policy,</w:t>
      </w:r>
      <w:r w:rsidR="00360969" w:rsidRPr="008317E3">
        <w:rPr>
          <w:lang w:val="en-GB"/>
        </w:rPr>
        <w:t xml:space="preserve"> th</w:t>
      </w:r>
      <w:r w:rsidRPr="008317E3">
        <w:rPr>
          <w:lang w:val="en-GB"/>
        </w:rPr>
        <w:t xml:space="preserve">is year dedicated to </w:t>
      </w:r>
      <w:r w:rsidR="00B5117B" w:rsidRPr="008317E3">
        <w:rPr>
          <w:lang w:val="en-GB"/>
        </w:rPr>
        <w:t>transport resilience to global shocks</w:t>
      </w:r>
      <w:r w:rsidRPr="008317E3">
        <w:rPr>
          <w:lang w:val="en-GB"/>
        </w:rPr>
        <w:t>.</w:t>
      </w:r>
    </w:p>
    <w:p w14:paraId="7D977CF7" w14:textId="77777777" w:rsidR="005143FE" w:rsidRPr="008317E3" w:rsidRDefault="005143FE">
      <w:pPr>
        <w:rPr>
          <w:lang w:val="en-GB"/>
        </w:rPr>
      </w:pPr>
    </w:p>
    <w:p w14:paraId="15CBBCCF" w14:textId="163CD7ED" w:rsidR="009E6A64" w:rsidRDefault="00222A6F" w:rsidP="003A2AD5">
      <w:pPr>
        <w:rPr>
          <w:lang w:val="en-GB"/>
        </w:rPr>
      </w:pPr>
      <w:r w:rsidRPr="008317E3">
        <w:rPr>
          <w:lang w:val="en-GB"/>
        </w:rPr>
        <w:t xml:space="preserve">The </w:t>
      </w:r>
      <w:r w:rsidRPr="008317E3">
        <w:rPr>
          <w:b/>
          <w:bCs/>
          <w:lang w:val="en-GB"/>
        </w:rPr>
        <w:t xml:space="preserve">Permanent Group </w:t>
      </w:r>
      <w:r w:rsidR="007845BB" w:rsidRPr="008317E3">
        <w:rPr>
          <w:b/>
          <w:bCs/>
          <w:lang w:val="en-GB"/>
        </w:rPr>
        <w:t xml:space="preserve">Services of </w:t>
      </w:r>
      <w:r w:rsidRPr="008317E3">
        <w:rPr>
          <w:b/>
          <w:bCs/>
          <w:lang w:val="en-GB"/>
        </w:rPr>
        <w:t>G</w:t>
      </w:r>
      <w:r w:rsidR="007845BB" w:rsidRPr="008317E3">
        <w:rPr>
          <w:b/>
          <w:bCs/>
          <w:lang w:val="en-GB"/>
        </w:rPr>
        <w:t xml:space="preserve">eneral </w:t>
      </w:r>
      <w:r w:rsidRPr="008317E3">
        <w:rPr>
          <w:b/>
          <w:bCs/>
          <w:lang w:val="en-GB"/>
        </w:rPr>
        <w:t>I</w:t>
      </w:r>
      <w:r w:rsidR="007845BB" w:rsidRPr="008317E3">
        <w:rPr>
          <w:b/>
          <w:bCs/>
          <w:lang w:val="en-GB"/>
        </w:rPr>
        <w:t>nterest</w:t>
      </w:r>
      <w:r w:rsidR="007845BB" w:rsidRPr="008317E3">
        <w:rPr>
          <w:lang w:val="en-GB"/>
        </w:rPr>
        <w:t xml:space="preserve"> </w:t>
      </w:r>
      <w:r w:rsidRPr="008317E3">
        <w:rPr>
          <w:lang w:val="en-GB"/>
        </w:rPr>
        <w:t xml:space="preserve">will </w:t>
      </w:r>
      <w:r w:rsidR="004A72A9" w:rsidRPr="008317E3">
        <w:rPr>
          <w:lang w:val="en-GB"/>
        </w:rPr>
        <w:t>organise</w:t>
      </w:r>
      <w:r w:rsidRPr="008317E3">
        <w:rPr>
          <w:lang w:val="en-GB"/>
        </w:rPr>
        <w:t xml:space="preserve"> a seminar </w:t>
      </w:r>
      <w:r w:rsidR="004A72A9" w:rsidRPr="008317E3">
        <w:rPr>
          <w:lang w:val="en-GB"/>
        </w:rPr>
        <w:t xml:space="preserve">with Korczak University and the Polish EAPN Committee </w:t>
      </w:r>
      <w:r w:rsidRPr="008317E3">
        <w:rPr>
          <w:lang w:val="en-GB"/>
        </w:rPr>
        <w:t>under the patronage of the Polish Presidency</w:t>
      </w:r>
      <w:r w:rsidR="00321258" w:rsidRPr="008317E3">
        <w:rPr>
          <w:lang w:val="en-GB"/>
        </w:rPr>
        <w:t xml:space="preserve"> (Warsaw, March 2025)</w:t>
      </w:r>
      <w:r w:rsidRPr="008317E3">
        <w:rPr>
          <w:lang w:val="en-GB"/>
        </w:rPr>
        <w:t xml:space="preserve"> </w:t>
      </w:r>
      <w:r w:rsidR="00F91364" w:rsidRPr="008317E3">
        <w:rPr>
          <w:lang w:val="en-GB"/>
        </w:rPr>
        <w:t xml:space="preserve">on </w:t>
      </w:r>
      <w:r w:rsidRPr="008317E3">
        <w:rPr>
          <w:lang w:val="en-GB"/>
        </w:rPr>
        <w:t xml:space="preserve">the role of quality services of general interest in meeting local, regional or national needs in the field of housing. </w:t>
      </w:r>
      <w:r w:rsidR="004A72A9" w:rsidRPr="008317E3">
        <w:rPr>
          <w:lang w:val="en-GB"/>
        </w:rPr>
        <w:t>It will seek cooperation with the European Parliament</w:t>
      </w:r>
      <w:r w:rsidR="002E4EDC" w:rsidRPr="008317E3">
        <w:rPr>
          <w:lang w:val="en-GB"/>
        </w:rPr>
        <w:t>’</w:t>
      </w:r>
      <w:r w:rsidR="004A72A9" w:rsidRPr="008317E3">
        <w:rPr>
          <w:lang w:val="en-GB"/>
        </w:rPr>
        <w:t>s new</w:t>
      </w:r>
      <w:r w:rsidR="004A72A9" w:rsidRPr="00E509A6">
        <w:rPr>
          <w:lang w:val="en-GB"/>
        </w:rPr>
        <w:t xml:space="preserve"> special committee on the housing crisis, which is tasked with finding solutions for providing decent, sustainable and affordable housing in the EU.</w:t>
      </w:r>
    </w:p>
    <w:p w14:paraId="0C9D964A" w14:textId="77777777" w:rsidR="003A2AD5" w:rsidRPr="008317E3" w:rsidRDefault="003A2AD5">
      <w:pPr>
        <w:rPr>
          <w:lang w:val="en-GB"/>
        </w:rPr>
      </w:pPr>
    </w:p>
    <w:p w14:paraId="2D391C58" w14:textId="3734599E" w:rsidR="00386AEA" w:rsidRDefault="003A2AD5" w:rsidP="00E509A6">
      <w:pPr>
        <w:jc w:val="center"/>
        <w:rPr>
          <w:lang w:val="en-GB"/>
        </w:rPr>
      </w:pPr>
      <w:r>
        <w:rPr>
          <w:lang w:val="en-GB"/>
        </w:rPr>
        <w:t>*</w:t>
      </w:r>
    </w:p>
    <w:p w14:paraId="1A43F8C7" w14:textId="77777777" w:rsidR="003A2AD5" w:rsidRDefault="003A2AD5" w:rsidP="00E509A6">
      <w:pPr>
        <w:jc w:val="center"/>
        <w:rPr>
          <w:lang w:val="en-GB"/>
        </w:rPr>
      </w:pPr>
    </w:p>
    <w:p w14:paraId="71A93AFA" w14:textId="7C8C9C0B" w:rsidR="003A2AD5" w:rsidRPr="008317E3" w:rsidRDefault="003A2AD5" w:rsidP="00E509A6">
      <w:pPr>
        <w:jc w:val="center"/>
        <w:rPr>
          <w:lang w:val="en-GB"/>
        </w:rPr>
      </w:pPr>
      <w:r>
        <w:rPr>
          <w:lang w:val="en-GB"/>
        </w:rPr>
        <w:t>*</w:t>
      </w:r>
      <w:r>
        <w:rPr>
          <w:lang w:val="en-GB"/>
        </w:rPr>
        <w:tab/>
        <w:t>*</w:t>
      </w:r>
    </w:p>
    <w:p w14:paraId="608B5718" w14:textId="77777777" w:rsidR="00386AEA" w:rsidRPr="008317E3" w:rsidRDefault="00386AEA" w:rsidP="00E509A6">
      <w:pPr>
        <w:jc w:val="left"/>
        <w:rPr>
          <w:b/>
          <w:bCs/>
          <w:lang w:val="en-GB"/>
        </w:rPr>
      </w:pPr>
    </w:p>
    <w:p w14:paraId="21350761" w14:textId="0644033B" w:rsidR="00292200" w:rsidRDefault="00B13B94" w:rsidP="00E509A6">
      <w:pPr>
        <w:jc w:val="left"/>
        <w:rPr>
          <w:lang w:val="en-GB"/>
        </w:rPr>
      </w:pPr>
      <w:r w:rsidRPr="008317E3">
        <w:rPr>
          <w:lang w:val="en-GB"/>
        </w:rPr>
        <w:t xml:space="preserve">Annex: </w:t>
      </w:r>
      <w:r w:rsidR="007F70D2" w:rsidRPr="008317E3">
        <w:rPr>
          <w:lang w:val="en-GB"/>
        </w:rPr>
        <w:t>Rolling program</w:t>
      </w:r>
      <w:r w:rsidR="005143FE" w:rsidRPr="008317E3">
        <w:rPr>
          <w:lang w:val="en-GB"/>
        </w:rPr>
        <w:t>me</w:t>
      </w:r>
      <w:r w:rsidR="007F70D2" w:rsidRPr="008317E3">
        <w:rPr>
          <w:lang w:val="en-GB"/>
        </w:rPr>
        <w:t xml:space="preserve"> of </w:t>
      </w:r>
      <w:r w:rsidR="005143FE" w:rsidRPr="008317E3">
        <w:rPr>
          <w:lang w:val="en-GB"/>
        </w:rPr>
        <w:t xml:space="preserve">the </w:t>
      </w:r>
      <w:r w:rsidR="007F70D2" w:rsidRPr="008317E3">
        <w:rPr>
          <w:lang w:val="en-GB"/>
        </w:rPr>
        <w:t>TEN section in 2025</w:t>
      </w:r>
    </w:p>
    <w:p w14:paraId="7A3CA49B" w14:textId="77777777" w:rsidR="00376FF5" w:rsidRPr="008317E3" w:rsidRDefault="00376FF5" w:rsidP="00E509A6">
      <w:pPr>
        <w:jc w:val="left"/>
        <w:rPr>
          <w:lang w:val="en-GB"/>
        </w:rPr>
      </w:pPr>
    </w:p>
    <w:p w14:paraId="75F7D3C9" w14:textId="3B082ABE" w:rsidR="00B619AF" w:rsidRPr="00E509A6" w:rsidRDefault="00B619AF" w:rsidP="00B619AF">
      <w:pPr>
        <w:rPr>
          <w:lang w:val="en-GB"/>
        </w:rPr>
      </w:pPr>
      <w:r w:rsidRPr="00E509A6">
        <w:rPr>
          <w:lang w:val="en-GB"/>
        </w:rPr>
        <w:br w:type="page"/>
      </w:r>
    </w:p>
    <w:p w14:paraId="3F84CE04" w14:textId="77777777" w:rsidR="00B619AF" w:rsidRPr="00E509A6" w:rsidRDefault="00B619AF" w:rsidP="00B619AF">
      <w:pPr>
        <w:rPr>
          <w:lang w:val="en-GB"/>
        </w:rPr>
        <w:sectPr w:rsidR="00B619AF" w:rsidRPr="00E509A6" w:rsidSect="00A06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p w14:paraId="51DB79ED" w14:textId="77777777" w:rsidR="00B619AF" w:rsidRPr="00E509A6" w:rsidRDefault="00B619AF" w:rsidP="00B619AF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GB" w:eastAsia="fr-BE"/>
        </w:rPr>
      </w:pPr>
      <w:r w:rsidRPr="00E509A6">
        <w:rPr>
          <w:rFonts w:ascii="Arial" w:hAnsi="Arial" w:cs="Arial"/>
          <w:b/>
          <w:bCs/>
          <w:color w:val="000000"/>
          <w:sz w:val="20"/>
          <w:szCs w:val="20"/>
          <w:lang w:val="en-GB" w:eastAsia="fr-BE"/>
        </w:rPr>
        <w:lastRenderedPageBreak/>
        <w:t>TEN SECTION ROLLING PROGRAMME 2025</w:t>
      </w:r>
    </w:p>
    <w:tbl>
      <w:tblPr>
        <w:tblStyle w:val="TableGrid"/>
        <w:tblpPr w:leftFromText="141" w:rightFromText="141" w:vertAnchor="text" w:horzAnchor="page" w:tblpX="1362" w:tblpY="135"/>
        <w:tblW w:w="14029" w:type="dxa"/>
        <w:tblLook w:val="04A0" w:firstRow="1" w:lastRow="0" w:firstColumn="1" w:lastColumn="0" w:noHBand="0" w:noVBand="1"/>
      </w:tblPr>
      <w:tblGrid>
        <w:gridCol w:w="5250"/>
        <w:gridCol w:w="1701"/>
        <w:gridCol w:w="1843"/>
        <w:gridCol w:w="1276"/>
        <w:gridCol w:w="1559"/>
        <w:gridCol w:w="2400"/>
      </w:tblGrid>
      <w:tr w:rsidR="00B619AF" w:rsidRPr="008317E3" w14:paraId="0DCBD9F4" w14:textId="77777777" w:rsidTr="007D752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</w:tcPr>
          <w:p w14:paraId="6BE162E5" w14:textId="77777777" w:rsidR="00B619AF" w:rsidRPr="00E509A6" w:rsidRDefault="00B619AF" w:rsidP="007D752C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09BD750" w14:textId="77777777" w:rsidR="00B619AF" w:rsidRPr="00E509A6" w:rsidRDefault="00B619AF" w:rsidP="007D752C">
            <w:pPr>
              <w:jc w:val="center"/>
              <w:rPr>
                <w:highlight w:val="lightGray"/>
                <w:lang w:val="en-GB"/>
              </w:rPr>
            </w:pPr>
            <w:r w:rsidRPr="00E509A6">
              <w:rPr>
                <w:b/>
                <w:bCs/>
                <w:color w:val="000000"/>
                <w:sz w:val="20"/>
                <w:szCs w:val="20"/>
                <w:lang w:val="en-GB"/>
              </w:rPr>
              <w:t>Policy objective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FFCC"/>
            <w:vAlign w:val="center"/>
          </w:tcPr>
          <w:p w14:paraId="359FF619" w14:textId="77777777" w:rsidR="00B619AF" w:rsidRPr="00E509A6" w:rsidRDefault="00B619AF" w:rsidP="007D752C">
            <w:pPr>
              <w:jc w:val="center"/>
              <w:rPr>
                <w:highlight w:val="lightGray"/>
                <w:lang w:val="en-GB"/>
              </w:rPr>
            </w:pPr>
            <w:r w:rsidRPr="00E509A6">
              <w:rPr>
                <w:b/>
                <w:bCs/>
                <w:color w:val="000000"/>
                <w:sz w:val="20"/>
                <w:szCs w:val="20"/>
                <w:lang w:val="en-GB"/>
              </w:rPr>
              <w:t>Source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4B0F559" w14:textId="77777777" w:rsidR="00B619AF" w:rsidRPr="00E509A6" w:rsidRDefault="00B619AF" w:rsidP="007D752C">
            <w:pPr>
              <w:jc w:val="center"/>
              <w:rPr>
                <w:highlight w:val="lightGray"/>
                <w:lang w:val="en-GB"/>
              </w:rPr>
            </w:pPr>
            <w:r w:rsidRPr="00E509A6">
              <w:rPr>
                <w:b/>
                <w:bCs/>
                <w:color w:val="000000"/>
                <w:sz w:val="20"/>
                <w:szCs w:val="20"/>
                <w:lang w:val="en-GB"/>
              </w:rPr>
              <w:t>Policy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vAlign w:val="center"/>
          </w:tcPr>
          <w:p w14:paraId="23C13020" w14:textId="77777777" w:rsidR="00B619AF" w:rsidRPr="00E509A6" w:rsidRDefault="00B619AF" w:rsidP="007D752C">
            <w:pPr>
              <w:jc w:val="center"/>
              <w:rPr>
                <w:highlight w:val="lightGray"/>
                <w:lang w:val="en-GB"/>
              </w:rPr>
            </w:pPr>
            <w:r w:rsidRPr="00E509A6">
              <w:rPr>
                <w:b/>
                <w:bCs/>
                <w:color w:val="000000"/>
                <w:sz w:val="20"/>
                <w:szCs w:val="20"/>
                <w:lang w:val="en-GB"/>
              </w:rPr>
              <w:t>Legisl. or not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455FF877" w14:textId="77777777" w:rsidR="00B619AF" w:rsidRPr="00E509A6" w:rsidRDefault="00B619AF" w:rsidP="007D752C">
            <w:pPr>
              <w:jc w:val="center"/>
              <w:rPr>
                <w:highlight w:val="lightGray"/>
                <w:lang w:val="en-GB"/>
              </w:rPr>
            </w:pPr>
            <w:r w:rsidRPr="00E509A6">
              <w:rPr>
                <w:b/>
                <w:bCs/>
                <w:color w:val="000000"/>
                <w:sz w:val="20"/>
                <w:szCs w:val="20"/>
                <w:lang w:val="en-GB"/>
              </w:rPr>
              <w:t>Indicative publication</w:t>
            </w:r>
          </w:p>
        </w:tc>
      </w:tr>
    </w:tbl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741"/>
        <w:gridCol w:w="1843"/>
        <w:gridCol w:w="1276"/>
        <w:gridCol w:w="1559"/>
        <w:gridCol w:w="2268"/>
      </w:tblGrid>
      <w:tr w:rsidR="00B619AF" w:rsidRPr="008317E3" w14:paraId="1ACAC97A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2E9E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European Port Strategy and Industrial Maritime Strategy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6075" w14:textId="4767CB04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Competitiveness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&amp;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Decarbonisation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220C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362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552A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N-L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FCE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[2025]</w:t>
            </w:r>
          </w:p>
        </w:tc>
      </w:tr>
      <w:tr w:rsidR="00B619AF" w:rsidRPr="008317E3" w14:paraId="289E8E23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042B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High Speed Rail Plan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D4F7" w14:textId="73E4239A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Competitiveness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&amp;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Decarbonisation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E92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74E3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E6E2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N-L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2B5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[2025]</w:t>
            </w:r>
          </w:p>
        </w:tc>
      </w:tr>
      <w:tr w:rsidR="00B619AF" w:rsidRPr="008317E3" w14:paraId="39D4B809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8CE9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Action plan on affordable energy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954" w14:textId="1236D245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Competitiveness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&amp;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Decarbonisation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B775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2025; 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95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Energy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416A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N-L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49B1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Q1 2025</w:t>
            </w:r>
          </w:p>
        </w:tc>
      </w:tr>
      <w:tr w:rsidR="00B619AF" w:rsidRPr="008317E3" w14:paraId="1E4071A7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F59B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Digital Networks Act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07F6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Innovation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3B3E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2025; 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8F3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Digital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31A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CBC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Q4 2025</w:t>
            </w:r>
          </w:p>
        </w:tc>
      </w:tr>
      <w:tr w:rsidR="00B619AF" w:rsidRPr="008317E3" w14:paraId="3B9C3981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DDC6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EU Space Act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C10F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Competitiveness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24E8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2025; 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A48F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Space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85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6C02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Q2 2025</w:t>
            </w:r>
          </w:p>
        </w:tc>
      </w:tr>
      <w:tr w:rsidR="00B619AF" w:rsidRPr="008317E3" w14:paraId="5AC1AFCF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ED37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Sustainable Transport Investment Plan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51A3" w14:textId="5C2D5657" w:rsidR="00B619AF" w:rsidRPr="00E509A6" w:rsidRDefault="00B619AF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Competitiveness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&amp;</w:t>
            </w:r>
            <w:r w:rsidR="00B5117B"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 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Decarbonisation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C165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EC WP 2025; CC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7BD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26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N-L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3F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Q3 2025</w:t>
            </w:r>
          </w:p>
        </w:tc>
      </w:tr>
      <w:tr w:rsidR="00B619AF" w:rsidRPr="008317E3" w14:paraId="33CB0DED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7350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Single booking and ticketing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991B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80DE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Commissioner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93F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C22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51A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[2025]</w:t>
            </w:r>
          </w:p>
        </w:tc>
      </w:tr>
      <w:tr w:rsidR="00B619AF" w:rsidRPr="008317E3" w14:paraId="7DFB935B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F9CB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Citizens’ Energy Package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992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D7D7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F6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562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N-L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68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Q3 2025</w:t>
            </w:r>
          </w:p>
        </w:tc>
      </w:tr>
      <w:tr w:rsidR="00B619AF" w:rsidRPr="008317E3" w14:paraId="63175419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161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EU Preparedness Union Strategy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9A7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Preparedness and Resilience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4D14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B0D6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cross-cutting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0E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N-L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CB9E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Q1 2025</w:t>
            </w:r>
          </w:p>
        </w:tc>
      </w:tr>
      <w:tr w:rsidR="00B619AF" w:rsidRPr="008317E3" w14:paraId="4B59BA2F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2BE9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Fitness check on the legislative acquis in the digital policy area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418B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REFIT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384E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4C3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Digital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12B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50C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Q4 2025</w:t>
            </w:r>
          </w:p>
        </w:tc>
      </w:tr>
      <w:tr w:rsidR="00B619AF" w:rsidRPr="008317E3" w14:paraId="1CC38A32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7963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Fitness check on energy security architecture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9C6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REFIT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52FE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4D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Energy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4CEA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38D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Q2 2025</w:t>
            </w:r>
          </w:p>
        </w:tc>
      </w:tr>
      <w:tr w:rsidR="00B619AF" w:rsidRPr="008317E3" w14:paraId="3B2CFF93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F11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Fitness Check of EU airports legislation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9CE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REFIT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B09E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804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7CCA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B56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Q4 2025</w:t>
            </w:r>
          </w:p>
        </w:tc>
      </w:tr>
      <w:tr w:rsidR="00B619AF" w:rsidRPr="008317E3" w14:paraId="50A673B2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801F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Evaluation of radioactive waste directives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F750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REFIT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6790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5A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Energy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F21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A6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Q4 2025</w:t>
            </w:r>
          </w:p>
        </w:tc>
      </w:tr>
      <w:tr w:rsidR="00B619AF" w:rsidRPr="008317E3" w14:paraId="75E9B307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51ED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Evaluation of the Fishing Vessel Safety Directive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B7E7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REFIT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BB6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316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1EC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CE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Q1/Q2 2025</w:t>
            </w:r>
          </w:p>
        </w:tc>
      </w:tr>
      <w:tr w:rsidR="00B619AF" w:rsidRPr="008317E3" w14:paraId="23ED4CDB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1253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Evaluation of Regulation (EU) 2016/796 of EU Agency for Railways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BA84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REFIT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34E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E27B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4AB2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697A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Q3 2025</w:t>
            </w:r>
          </w:p>
        </w:tc>
      </w:tr>
      <w:tr w:rsidR="00B619AF" w:rsidRPr="008317E3" w14:paraId="61CA6AD0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37BC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Ex-post evaluation of Connecting Europe Facility (CEF) 2014-2020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20C1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REFIT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76CF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EC WP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3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Digital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CEEE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6D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Q3/Q4 2025</w:t>
            </w:r>
          </w:p>
        </w:tc>
      </w:tr>
      <w:tr w:rsidR="00B619AF" w:rsidRPr="008317E3" w14:paraId="1A7DF07B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A60C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lastRenderedPageBreak/>
              <w:t xml:space="preserve">Revision of the Gas Storage Regulation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F732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1507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B8B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Energy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60B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81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Q1 2025</w:t>
            </w:r>
          </w:p>
        </w:tc>
      </w:tr>
      <w:tr w:rsidR="00B619AF" w:rsidRPr="008317E3" w14:paraId="40BA280E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578D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New Radio Spectrum Policy Programme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B741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1C58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Previous mandate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2CD0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 xml:space="preserve">Digital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2764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CAB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5AE5EC99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6532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Revision of the Train Drivers Directive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0D46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15A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Previous mandate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F6D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C2E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38D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4BC4DB2B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8226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Revision of the roadworthiness package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BA1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7088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Previous mandate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943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09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7E9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7F1D2333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D92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Greening corporate fleets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48C9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0C55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Previous mandate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CD0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6F91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85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08993EA0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5450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Revision of the regulatory framework for ERTMS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5368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AE85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Previous mandate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A5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593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292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6D49EA4A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3818" w14:textId="52562710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For a European Affordable Housing Plan – the contribution of civil society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E4DC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9461" w14:textId="4E257A63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Exploratory DK Presidency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98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Housing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B35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215F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1C19F031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FC3D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Energy communities and prosumerism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849A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FCFB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Exploratory 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EE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Energy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ED0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9C8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401AB6E7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35CF" w14:textId="0ED4FF2F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The physical completion of EU</w:t>
            </w:r>
            <w:r w:rsidR="002E4EDC" w:rsidRPr="00E509A6">
              <w:rPr>
                <w:color w:val="000000"/>
                <w:sz w:val="20"/>
                <w:szCs w:val="20"/>
                <w:lang w:val="en-GB" w:eastAsia="fr-BE"/>
              </w:rPr>
              <w:t>’</w:t>
            </w:r>
            <w:r w:rsidRPr="00E509A6">
              <w:rPr>
                <w:color w:val="000000"/>
                <w:sz w:val="20"/>
                <w:szCs w:val="20"/>
                <w:lang w:val="en-GB" w:eastAsia="fr-BE"/>
              </w:rPr>
              <w:t>s internal market in a new geopolitical situation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0DE8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509A" w14:textId="77777777" w:rsidR="00B619AF" w:rsidRPr="00E509A6" w:rsidRDefault="00B619AF" w:rsidP="00E509A6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OIO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D30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ABA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E591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182570C5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A3D8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Price hikes in transport, energy, housing: role of quality public services in tackling high cost of living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6CD5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1FA3" w14:textId="77777777" w:rsidR="00B619AF" w:rsidRPr="00E509A6" w:rsidRDefault="00B619AF" w:rsidP="00E509A6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OIO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E83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SGI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973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340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3AE2FCC8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FDF2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Towards a balanced European energy system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1895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0D14" w14:textId="77777777" w:rsidR="00B619AF" w:rsidRPr="00E509A6" w:rsidRDefault="00B619AF" w:rsidP="00E509A6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OIO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942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Energy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1F8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34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4425BB9D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68D6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Planning sustainable urban mobility in the EU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ADF7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967F" w14:textId="77777777" w:rsidR="00B619AF" w:rsidRPr="00E509A6" w:rsidRDefault="00B619AF" w:rsidP="00E509A6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OIO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880F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Transport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675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857B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2D427769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6081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The role of Services of General Interest for competitiveness, social cohesion and democracy in the EU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3956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777A" w14:textId="77777777" w:rsidR="00B619AF" w:rsidRPr="00E509A6" w:rsidRDefault="00B619AF" w:rsidP="00E509A6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OIO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57FE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SGI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87E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6C9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  <w:r w:rsidRPr="00E509A6">
              <w:rPr>
                <w:color w:val="000000"/>
                <w:sz w:val="20"/>
                <w:szCs w:val="20"/>
                <w:lang w:val="en-GB" w:eastAsia="fr-BE"/>
              </w:rPr>
              <w:t> </w:t>
            </w:r>
          </w:p>
        </w:tc>
      </w:tr>
      <w:tr w:rsidR="00B619AF" w:rsidRPr="008317E3" w14:paraId="54382DF8" w14:textId="77777777" w:rsidTr="007D752C">
        <w:trPr>
          <w:trHeight w:val="528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CFB5" w14:textId="77777777" w:rsidR="00B619AF" w:rsidRPr="00E509A6" w:rsidRDefault="00B619AF" w:rsidP="007D752C">
            <w:pPr>
              <w:spacing w:line="240" w:lineRule="auto"/>
              <w:jc w:val="left"/>
              <w:rPr>
                <w:b/>
                <w:bCs/>
                <w:color w:val="002060"/>
                <w:sz w:val="20"/>
                <w:szCs w:val="20"/>
                <w:lang w:val="en-GB" w:eastAsia="fr-BE"/>
              </w:rPr>
            </w:pPr>
            <w:r w:rsidRPr="00E509A6">
              <w:rPr>
                <w:b/>
                <w:bCs/>
                <w:color w:val="002060"/>
                <w:sz w:val="20"/>
                <w:szCs w:val="20"/>
                <w:lang w:val="en-GB" w:eastAsia="fr-BE"/>
              </w:rPr>
              <w:t>Legend: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476C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698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DD12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329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0D0B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</w:tr>
      <w:tr w:rsidR="00B619AF" w:rsidRPr="008317E3" w14:paraId="4935EF1C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E2B" w14:textId="77777777" w:rsidR="00B619AF" w:rsidRPr="00E509A6" w:rsidRDefault="00B619AF" w:rsidP="007D752C">
            <w:pPr>
              <w:spacing w:line="240" w:lineRule="auto"/>
              <w:jc w:val="left"/>
              <w:rPr>
                <w:b/>
                <w:bCs/>
                <w:color w:val="002060"/>
                <w:sz w:val="20"/>
                <w:szCs w:val="20"/>
                <w:lang w:val="en-GB" w:eastAsia="fr-BE"/>
              </w:rPr>
            </w:pPr>
            <w:r w:rsidRPr="00E509A6">
              <w:rPr>
                <w:b/>
                <w:bCs/>
                <w:color w:val="002060"/>
                <w:sz w:val="20"/>
                <w:szCs w:val="20"/>
                <w:lang w:val="en-GB" w:eastAsia="fr-BE"/>
              </w:rPr>
              <w:t>EC WP 2025: European Commission Work Programme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30C1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1A60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2E7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5B1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EBF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</w:tr>
      <w:tr w:rsidR="00B619AF" w:rsidRPr="008317E3" w14:paraId="064E5705" w14:textId="77777777" w:rsidTr="00E509A6">
        <w:trPr>
          <w:trHeight w:val="45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EA67" w14:textId="77777777" w:rsidR="00B619AF" w:rsidRPr="00E509A6" w:rsidRDefault="00B619AF" w:rsidP="007D752C">
            <w:pPr>
              <w:spacing w:line="240" w:lineRule="auto"/>
              <w:jc w:val="left"/>
              <w:rPr>
                <w:b/>
                <w:bCs/>
                <w:color w:val="002060"/>
                <w:sz w:val="20"/>
                <w:szCs w:val="20"/>
                <w:lang w:val="en-GB" w:eastAsia="fr-BE"/>
              </w:rPr>
            </w:pPr>
            <w:r w:rsidRPr="00E509A6">
              <w:rPr>
                <w:b/>
                <w:bCs/>
                <w:color w:val="002060"/>
                <w:sz w:val="20"/>
                <w:szCs w:val="20"/>
                <w:lang w:val="en-GB" w:eastAsia="fr-BE"/>
              </w:rPr>
              <w:t>CC: Competitiveness Compass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341B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BC9C" w14:textId="77777777" w:rsidR="00B619AF" w:rsidRPr="00E509A6" w:rsidRDefault="00B619AF" w:rsidP="007D752C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8D7C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53D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88F" w14:textId="77777777" w:rsidR="00B619AF" w:rsidRPr="00E509A6" w:rsidRDefault="00B619AF" w:rsidP="007D752C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en-GB" w:eastAsia="fr-BE"/>
              </w:rPr>
            </w:pPr>
          </w:p>
        </w:tc>
      </w:tr>
    </w:tbl>
    <w:p w14:paraId="4F7CB45E" w14:textId="08799372" w:rsidR="00757ECF" w:rsidRPr="008317E3" w:rsidRDefault="003A2AD5" w:rsidP="00E509A6">
      <w:pPr>
        <w:overflowPunct w:val="0"/>
        <w:autoSpaceDE w:val="0"/>
        <w:autoSpaceDN w:val="0"/>
        <w:adjustRightInd w:val="0"/>
        <w:jc w:val="center"/>
        <w:textAlignment w:val="baseline"/>
        <w:rPr>
          <w:lang w:val="en-GB"/>
        </w:rPr>
      </w:pPr>
      <w:r>
        <w:rPr>
          <w:lang w:val="nl-BE"/>
        </w:rPr>
        <w:t>_____________</w:t>
      </w:r>
    </w:p>
    <w:sectPr w:rsidR="00757ECF" w:rsidRPr="008317E3" w:rsidSect="00376FF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9" w:h="11907" w:orient="landscape" w:code="9"/>
      <w:pgMar w:top="1417" w:right="850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CA16" w14:textId="77777777" w:rsidR="001915AF" w:rsidRDefault="001915AF" w:rsidP="00171371">
      <w:pPr>
        <w:spacing w:line="240" w:lineRule="auto"/>
      </w:pPr>
      <w:r>
        <w:separator/>
      </w:r>
    </w:p>
  </w:endnote>
  <w:endnote w:type="continuationSeparator" w:id="0">
    <w:p w14:paraId="2D7F50E7" w14:textId="77777777" w:rsidR="001915AF" w:rsidRDefault="001915AF" w:rsidP="0017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104E" w14:textId="77777777" w:rsidR="00847292" w:rsidRPr="00A06B6F" w:rsidRDefault="00847292" w:rsidP="00A06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63A2" w14:textId="5A074E30" w:rsidR="001D3821" w:rsidRPr="00A06B6F" w:rsidRDefault="00A06B6F" w:rsidP="00A06B6F">
    <w:pPr>
      <w:pStyle w:val="Footer"/>
    </w:pPr>
    <w:r>
      <w:t xml:space="preserve">EESC-2025-00848-00-00-TCD-TRA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E249EA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376FF5">
      <w:rPr>
        <w:noProof/>
      </w:rPr>
      <w:instrText>6</w:instrText>
    </w:r>
    <w:r>
      <w:fldChar w:fldCharType="end"/>
    </w:r>
    <w:r>
      <w:instrText xml:space="preserve"> -0 </w:instrText>
    </w:r>
    <w:r>
      <w:fldChar w:fldCharType="separate"/>
    </w:r>
    <w:r w:rsidR="00376FF5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BABE" w14:textId="77777777" w:rsidR="00847292" w:rsidRPr="00A06B6F" w:rsidRDefault="00847292" w:rsidP="00A06B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A627" w14:textId="77777777" w:rsidR="00847292" w:rsidRPr="00A06B6F" w:rsidRDefault="00847292" w:rsidP="00A06B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06A0" w14:textId="3207F09E" w:rsidR="00571102" w:rsidRPr="00A06B6F" w:rsidRDefault="00A06B6F" w:rsidP="00A06B6F">
    <w:pPr>
      <w:pStyle w:val="Footer"/>
    </w:pPr>
    <w:r>
      <w:t xml:space="preserve">EESC-2025-00848-00-00-TCD-TRA (EN)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376FF5">
      <w:rPr>
        <w:noProof/>
      </w:rPr>
      <w:instrText>6</w:instrText>
    </w:r>
    <w:r>
      <w:fldChar w:fldCharType="end"/>
    </w:r>
    <w:r>
      <w:instrText xml:space="preserve"> -0 </w:instrText>
    </w:r>
    <w:r>
      <w:fldChar w:fldCharType="separate"/>
    </w:r>
    <w:r w:rsidR="00376FF5">
      <w:rPr>
        <w:noProof/>
      </w:rPr>
      <w:t>6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7BB8" w14:textId="77777777" w:rsidR="00847292" w:rsidRPr="00A06B6F" w:rsidRDefault="00847292" w:rsidP="00A0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4CAC" w14:textId="77777777" w:rsidR="001915AF" w:rsidRDefault="001915AF" w:rsidP="00171371">
      <w:pPr>
        <w:spacing w:line="240" w:lineRule="auto"/>
      </w:pPr>
      <w:r>
        <w:separator/>
      </w:r>
    </w:p>
  </w:footnote>
  <w:footnote w:type="continuationSeparator" w:id="0">
    <w:p w14:paraId="22A946C9" w14:textId="77777777" w:rsidR="001915AF" w:rsidRDefault="001915AF" w:rsidP="00171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6F56" w14:textId="77777777" w:rsidR="00847292" w:rsidRPr="00A06B6F" w:rsidRDefault="00847292" w:rsidP="00A06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C848" w14:textId="7F3740C4" w:rsidR="00847292" w:rsidRPr="00A06B6F" w:rsidRDefault="00847292" w:rsidP="00A06B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9F4E" w14:textId="77777777" w:rsidR="00847292" w:rsidRPr="00A06B6F" w:rsidRDefault="00847292" w:rsidP="00A06B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B93A" w14:textId="77777777" w:rsidR="00847292" w:rsidRPr="00A06B6F" w:rsidRDefault="00847292" w:rsidP="00A06B6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5C6D" w14:textId="62403173" w:rsidR="00847292" w:rsidRPr="00A06B6F" w:rsidRDefault="00847292" w:rsidP="00A06B6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9DF6" w14:textId="77777777" w:rsidR="00847292" w:rsidRPr="00A06B6F" w:rsidRDefault="00847292" w:rsidP="00A06B6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2gnLJa1" int2:invalidationBookmarkName="" int2:hashCode="rF2Ev65yapbMQZ" int2:id="1JEJGsz9"/>
    <int2:bookmark int2:bookmarkName="_Int_278XvRie" int2:invalidationBookmarkName="" int2:hashCode="llbS/j5qYzCVpv" int2:id="0GxbcjJ3"/>
    <int2:bookmark int2:bookmarkName="_Int_20OJFbfR" int2:invalidationBookmarkName="" int2:hashCode="JUUQ5guXkY/ZtU" int2:id="iZt3NTTC"/>
    <int2:bookmark int2:bookmarkName="_Int_ayhMFPHo" int2:invalidationBookmarkName="" int2:hashCode="y+6iZ9B3PcV//L" int2:id="0gkHrFYo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B9286FE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i/>
        <w:iCs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333FA9"/>
    <w:multiLevelType w:val="hybridMultilevel"/>
    <w:tmpl w:val="061A7A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77993"/>
    <w:multiLevelType w:val="hybridMultilevel"/>
    <w:tmpl w:val="88EAEC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409E"/>
    <w:multiLevelType w:val="multilevel"/>
    <w:tmpl w:val="7C5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633044"/>
    <w:multiLevelType w:val="hybridMultilevel"/>
    <w:tmpl w:val="F86E297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CF1821"/>
    <w:multiLevelType w:val="multilevel"/>
    <w:tmpl w:val="DDF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62BD2"/>
    <w:multiLevelType w:val="hybridMultilevel"/>
    <w:tmpl w:val="C5E6C0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04BF"/>
    <w:multiLevelType w:val="hybridMultilevel"/>
    <w:tmpl w:val="93C47412"/>
    <w:lvl w:ilvl="0" w:tplc="19182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2CE0"/>
    <w:multiLevelType w:val="multilevel"/>
    <w:tmpl w:val="07ACA84E"/>
    <w:lvl w:ilvl="0">
      <w:start w:val="1"/>
      <w:numFmt w:val="upperRoman"/>
      <w:lvlText w:val="%1."/>
      <w:lvlJc w:val="left"/>
      <w:pPr>
        <w:ind w:left="858" w:hanging="432"/>
      </w:pPr>
      <w:rPr>
        <w:rFonts w:hint="default"/>
        <w:b/>
        <w:bCs/>
      </w:rPr>
    </w:lvl>
    <w:lvl w:ilvl="1">
      <w:start w:val="1"/>
      <w:numFmt w:val="upperLetter"/>
      <w:lvlText w:val="%1.%2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11029F1"/>
    <w:multiLevelType w:val="multilevel"/>
    <w:tmpl w:val="6B38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8D0267"/>
    <w:multiLevelType w:val="hybridMultilevel"/>
    <w:tmpl w:val="C3F048D2"/>
    <w:lvl w:ilvl="0" w:tplc="08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4D620B2"/>
    <w:multiLevelType w:val="hybridMultilevel"/>
    <w:tmpl w:val="5C3CD252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F255D0"/>
    <w:multiLevelType w:val="hybridMultilevel"/>
    <w:tmpl w:val="BCC21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F6D86"/>
    <w:multiLevelType w:val="hybridMultilevel"/>
    <w:tmpl w:val="BF663DE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C146A8"/>
    <w:multiLevelType w:val="hybridMultilevel"/>
    <w:tmpl w:val="10B2C06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11C1A"/>
    <w:multiLevelType w:val="hybridMultilevel"/>
    <w:tmpl w:val="8862A39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9471D"/>
    <w:multiLevelType w:val="hybridMultilevel"/>
    <w:tmpl w:val="0E040198"/>
    <w:lvl w:ilvl="0" w:tplc="08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5E4672AA"/>
    <w:multiLevelType w:val="hybridMultilevel"/>
    <w:tmpl w:val="8B98E3B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26A6A"/>
    <w:multiLevelType w:val="hybridMultilevel"/>
    <w:tmpl w:val="43662CEA"/>
    <w:lvl w:ilvl="0" w:tplc="D5D04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819AA"/>
    <w:multiLevelType w:val="hybridMultilevel"/>
    <w:tmpl w:val="727A1FB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72BA"/>
    <w:multiLevelType w:val="hybridMultilevel"/>
    <w:tmpl w:val="541E5D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0EA4"/>
    <w:multiLevelType w:val="hybridMultilevel"/>
    <w:tmpl w:val="B7BA100A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4A1D3B"/>
    <w:multiLevelType w:val="multilevel"/>
    <w:tmpl w:val="14D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1724E2"/>
    <w:multiLevelType w:val="hybridMultilevel"/>
    <w:tmpl w:val="3EB880F0"/>
    <w:lvl w:ilvl="0" w:tplc="E564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E1CCA"/>
    <w:multiLevelType w:val="hybridMultilevel"/>
    <w:tmpl w:val="2F46E4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12"/>
  </w:num>
  <w:num w:numId="5">
    <w:abstractNumId w:val="18"/>
  </w:num>
  <w:num w:numId="6">
    <w:abstractNumId w:val="5"/>
  </w:num>
  <w:num w:numId="7">
    <w:abstractNumId w:val="19"/>
  </w:num>
  <w:num w:numId="8">
    <w:abstractNumId w:val="0"/>
  </w:num>
  <w:num w:numId="9">
    <w:abstractNumId w:val="22"/>
  </w:num>
  <w:num w:numId="10">
    <w:abstractNumId w:val="3"/>
  </w:num>
  <w:num w:numId="11">
    <w:abstractNumId w:val="0"/>
  </w:num>
  <w:num w:numId="12">
    <w:abstractNumId w:val="0"/>
  </w:num>
  <w:num w:numId="13">
    <w:abstractNumId w:val="21"/>
  </w:num>
  <w:num w:numId="14">
    <w:abstractNumId w:val="13"/>
  </w:num>
  <w:num w:numId="15">
    <w:abstractNumId w:val="9"/>
  </w:num>
  <w:num w:numId="16">
    <w:abstractNumId w:val="4"/>
  </w:num>
  <w:num w:numId="17">
    <w:abstractNumId w:val="15"/>
  </w:num>
  <w:num w:numId="18">
    <w:abstractNumId w:val="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  <w:num w:numId="23">
    <w:abstractNumId w:val="10"/>
  </w:num>
  <w:num w:numId="24">
    <w:abstractNumId w:val="1"/>
  </w:num>
  <w:num w:numId="25">
    <w:abstractNumId w:val="6"/>
  </w:num>
  <w:num w:numId="26">
    <w:abstractNumId w:val="2"/>
  </w:num>
  <w:num w:numId="27">
    <w:abstractNumId w:val="23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IE" w:vendorID="64" w:dllVersion="4096" w:nlCheck="1" w:checkStyle="0"/>
  <w:activeWritingStyle w:appName="MSWord" w:lang="it-IT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86"/>
    <w:rsid w:val="0000024F"/>
    <w:rsid w:val="000008F8"/>
    <w:rsid w:val="00000AE8"/>
    <w:rsid w:val="00000DC0"/>
    <w:rsid w:val="0002162D"/>
    <w:rsid w:val="00022354"/>
    <w:rsid w:val="00023669"/>
    <w:rsid w:val="00025F48"/>
    <w:rsid w:val="00030D15"/>
    <w:rsid w:val="00031A0A"/>
    <w:rsid w:val="00042013"/>
    <w:rsid w:val="00050D6A"/>
    <w:rsid w:val="00051D96"/>
    <w:rsid w:val="00060C6A"/>
    <w:rsid w:val="00063D3B"/>
    <w:rsid w:val="00064C5C"/>
    <w:rsid w:val="00077B60"/>
    <w:rsid w:val="000819E6"/>
    <w:rsid w:val="00084033"/>
    <w:rsid w:val="000877C7"/>
    <w:rsid w:val="00092C5C"/>
    <w:rsid w:val="00097CB9"/>
    <w:rsid w:val="00097D6F"/>
    <w:rsid w:val="000B1766"/>
    <w:rsid w:val="000C09B2"/>
    <w:rsid w:val="000C2731"/>
    <w:rsid w:val="000C58E5"/>
    <w:rsid w:val="000D7652"/>
    <w:rsid w:val="000E34D5"/>
    <w:rsid w:val="000F12BC"/>
    <w:rsid w:val="000F1AC5"/>
    <w:rsid w:val="000F27AD"/>
    <w:rsid w:val="00102235"/>
    <w:rsid w:val="00102516"/>
    <w:rsid w:val="00102823"/>
    <w:rsid w:val="00104B7E"/>
    <w:rsid w:val="00107C90"/>
    <w:rsid w:val="00107EFA"/>
    <w:rsid w:val="0012224D"/>
    <w:rsid w:val="001247CD"/>
    <w:rsid w:val="00130223"/>
    <w:rsid w:val="00142701"/>
    <w:rsid w:val="00142B7A"/>
    <w:rsid w:val="00146F5E"/>
    <w:rsid w:val="00150EEF"/>
    <w:rsid w:val="00151184"/>
    <w:rsid w:val="001537AC"/>
    <w:rsid w:val="00153961"/>
    <w:rsid w:val="00156135"/>
    <w:rsid w:val="0015775D"/>
    <w:rsid w:val="00161B51"/>
    <w:rsid w:val="001622A4"/>
    <w:rsid w:val="00163213"/>
    <w:rsid w:val="00171371"/>
    <w:rsid w:val="00177383"/>
    <w:rsid w:val="0018154E"/>
    <w:rsid w:val="00184E9C"/>
    <w:rsid w:val="00186C6B"/>
    <w:rsid w:val="001915AF"/>
    <w:rsid w:val="001917C4"/>
    <w:rsid w:val="00191CA7"/>
    <w:rsid w:val="00192355"/>
    <w:rsid w:val="00195B04"/>
    <w:rsid w:val="00195B4F"/>
    <w:rsid w:val="0019637A"/>
    <w:rsid w:val="001A13A1"/>
    <w:rsid w:val="001A151B"/>
    <w:rsid w:val="001B704B"/>
    <w:rsid w:val="001C6074"/>
    <w:rsid w:val="001D2275"/>
    <w:rsid w:val="001D3821"/>
    <w:rsid w:val="001D5056"/>
    <w:rsid w:val="001E06BE"/>
    <w:rsid w:val="001E2AF8"/>
    <w:rsid w:val="001E320D"/>
    <w:rsid w:val="001E3D91"/>
    <w:rsid w:val="001E5B58"/>
    <w:rsid w:val="001F4D65"/>
    <w:rsid w:val="001F5326"/>
    <w:rsid w:val="002021AF"/>
    <w:rsid w:val="0020221F"/>
    <w:rsid w:val="0020475D"/>
    <w:rsid w:val="002136C0"/>
    <w:rsid w:val="00214192"/>
    <w:rsid w:val="00215346"/>
    <w:rsid w:val="00215AE6"/>
    <w:rsid w:val="00216706"/>
    <w:rsid w:val="00222A6F"/>
    <w:rsid w:val="00223C7F"/>
    <w:rsid w:val="002240B6"/>
    <w:rsid w:val="0022691D"/>
    <w:rsid w:val="002317E7"/>
    <w:rsid w:val="00232EE6"/>
    <w:rsid w:val="00233331"/>
    <w:rsid w:val="00242AED"/>
    <w:rsid w:val="00243750"/>
    <w:rsid w:val="002459A3"/>
    <w:rsid w:val="00253B19"/>
    <w:rsid w:val="00254571"/>
    <w:rsid w:val="00257671"/>
    <w:rsid w:val="00265563"/>
    <w:rsid w:val="00273161"/>
    <w:rsid w:val="00275932"/>
    <w:rsid w:val="00280799"/>
    <w:rsid w:val="00281518"/>
    <w:rsid w:val="0028250C"/>
    <w:rsid w:val="00286531"/>
    <w:rsid w:val="00287CF7"/>
    <w:rsid w:val="00292200"/>
    <w:rsid w:val="0029417E"/>
    <w:rsid w:val="00295A60"/>
    <w:rsid w:val="00296B70"/>
    <w:rsid w:val="002A2994"/>
    <w:rsid w:val="002A7B5E"/>
    <w:rsid w:val="002B049C"/>
    <w:rsid w:val="002B6136"/>
    <w:rsid w:val="002B6DD6"/>
    <w:rsid w:val="002C58C6"/>
    <w:rsid w:val="002E2ADC"/>
    <w:rsid w:val="002E4EDC"/>
    <w:rsid w:val="002F074B"/>
    <w:rsid w:val="002F0A1F"/>
    <w:rsid w:val="002F0C64"/>
    <w:rsid w:val="002F13C6"/>
    <w:rsid w:val="003032E5"/>
    <w:rsid w:val="00303A73"/>
    <w:rsid w:val="00305163"/>
    <w:rsid w:val="00306182"/>
    <w:rsid w:val="00306385"/>
    <w:rsid w:val="00307BF5"/>
    <w:rsid w:val="00321258"/>
    <w:rsid w:val="003242FB"/>
    <w:rsid w:val="0032502B"/>
    <w:rsid w:val="00326F11"/>
    <w:rsid w:val="00332D17"/>
    <w:rsid w:val="00337BA7"/>
    <w:rsid w:val="00340ECC"/>
    <w:rsid w:val="003438D8"/>
    <w:rsid w:val="00344456"/>
    <w:rsid w:val="00350E2C"/>
    <w:rsid w:val="00352358"/>
    <w:rsid w:val="00360969"/>
    <w:rsid w:val="003618D7"/>
    <w:rsid w:val="0036213E"/>
    <w:rsid w:val="00366194"/>
    <w:rsid w:val="00366677"/>
    <w:rsid w:val="00366C5E"/>
    <w:rsid w:val="003708B5"/>
    <w:rsid w:val="003739A5"/>
    <w:rsid w:val="003745EC"/>
    <w:rsid w:val="00376FF5"/>
    <w:rsid w:val="003779B8"/>
    <w:rsid w:val="00383A05"/>
    <w:rsid w:val="00386AEA"/>
    <w:rsid w:val="003A186F"/>
    <w:rsid w:val="003A2AD5"/>
    <w:rsid w:val="003A4A40"/>
    <w:rsid w:val="003A58C2"/>
    <w:rsid w:val="003B2D45"/>
    <w:rsid w:val="003B3817"/>
    <w:rsid w:val="003C1A57"/>
    <w:rsid w:val="003C3C4B"/>
    <w:rsid w:val="003E5CA1"/>
    <w:rsid w:val="0040638F"/>
    <w:rsid w:val="00406889"/>
    <w:rsid w:val="004078EC"/>
    <w:rsid w:val="00417ECA"/>
    <w:rsid w:val="0041FB93"/>
    <w:rsid w:val="00421FB7"/>
    <w:rsid w:val="004239E6"/>
    <w:rsid w:val="00440715"/>
    <w:rsid w:val="004423C8"/>
    <w:rsid w:val="00442694"/>
    <w:rsid w:val="00455A55"/>
    <w:rsid w:val="00457A73"/>
    <w:rsid w:val="00467C0E"/>
    <w:rsid w:val="004731E8"/>
    <w:rsid w:val="00475773"/>
    <w:rsid w:val="00476305"/>
    <w:rsid w:val="00480DA1"/>
    <w:rsid w:val="00483745"/>
    <w:rsid w:val="00484E8E"/>
    <w:rsid w:val="00485CB2"/>
    <w:rsid w:val="00497108"/>
    <w:rsid w:val="004A72A9"/>
    <w:rsid w:val="004B0DEB"/>
    <w:rsid w:val="004B2B80"/>
    <w:rsid w:val="004B54F5"/>
    <w:rsid w:val="004B5538"/>
    <w:rsid w:val="004C01BB"/>
    <w:rsid w:val="004C1E0E"/>
    <w:rsid w:val="004C4045"/>
    <w:rsid w:val="004C774E"/>
    <w:rsid w:val="004D00E2"/>
    <w:rsid w:val="004D11D2"/>
    <w:rsid w:val="004D2F25"/>
    <w:rsid w:val="004D3712"/>
    <w:rsid w:val="004D3E0E"/>
    <w:rsid w:val="004D69BF"/>
    <w:rsid w:val="004D6C5F"/>
    <w:rsid w:val="004E41C1"/>
    <w:rsid w:val="004E4ACE"/>
    <w:rsid w:val="004E55E0"/>
    <w:rsid w:val="004F128F"/>
    <w:rsid w:val="004F6336"/>
    <w:rsid w:val="004FFBC9"/>
    <w:rsid w:val="00501C8F"/>
    <w:rsid w:val="005066B8"/>
    <w:rsid w:val="00506D43"/>
    <w:rsid w:val="00507D84"/>
    <w:rsid w:val="005100BD"/>
    <w:rsid w:val="0051217A"/>
    <w:rsid w:val="0051335D"/>
    <w:rsid w:val="005143FE"/>
    <w:rsid w:val="00514FD0"/>
    <w:rsid w:val="00520026"/>
    <w:rsid w:val="005207E5"/>
    <w:rsid w:val="00520B31"/>
    <w:rsid w:val="00520E52"/>
    <w:rsid w:val="00524A9D"/>
    <w:rsid w:val="005317A5"/>
    <w:rsid w:val="00532308"/>
    <w:rsid w:val="005363BB"/>
    <w:rsid w:val="00537983"/>
    <w:rsid w:val="00537D57"/>
    <w:rsid w:val="00541A44"/>
    <w:rsid w:val="005423A2"/>
    <w:rsid w:val="005537D7"/>
    <w:rsid w:val="00571102"/>
    <w:rsid w:val="00571367"/>
    <w:rsid w:val="0057754B"/>
    <w:rsid w:val="005814E5"/>
    <w:rsid w:val="00592D75"/>
    <w:rsid w:val="005937D5"/>
    <w:rsid w:val="005A1823"/>
    <w:rsid w:val="005B3F5B"/>
    <w:rsid w:val="005C3DE3"/>
    <w:rsid w:val="005E4C31"/>
    <w:rsid w:val="005F01E6"/>
    <w:rsid w:val="005F1524"/>
    <w:rsid w:val="005F7FD5"/>
    <w:rsid w:val="006063BF"/>
    <w:rsid w:val="00607275"/>
    <w:rsid w:val="006217C8"/>
    <w:rsid w:val="00625AC5"/>
    <w:rsid w:val="00627DCF"/>
    <w:rsid w:val="006329ED"/>
    <w:rsid w:val="00634D87"/>
    <w:rsid w:val="00651C42"/>
    <w:rsid w:val="00655646"/>
    <w:rsid w:val="00665686"/>
    <w:rsid w:val="0069006C"/>
    <w:rsid w:val="006918E8"/>
    <w:rsid w:val="00692454"/>
    <w:rsid w:val="00693AD1"/>
    <w:rsid w:val="006960C6"/>
    <w:rsid w:val="00696895"/>
    <w:rsid w:val="006A2ED8"/>
    <w:rsid w:val="006C0289"/>
    <w:rsid w:val="006C3667"/>
    <w:rsid w:val="006C47C8"/>
    <w:rsid w:val="006C4A7D"/>
    <w:rsid w:val="006D08BB"/>
    <w:rsid w:val="006D2609"/>
    <w:rsid w:val="006D329D"/>
    <w:rsid w:val="006D384B"/>
    <w:rsid w:val="006D67B8"/>
    <w:rsid w:val="006E170B"/>
    <w:rsid w:val="006F3E9E"/>
    <w:rsid w:val="006F3FC5"/>
    <w:rsid w:val="00700472"/>
    <w:rsid w:val="007008EC"/>
    <w:rsid w:val="00705EC2"/>
    <w:rsid w:val="0070630A"/>
    <w:rsid w:val="00722E3E"/>
    <w:rsid w:val="00724AB1"/>
    <w:rsid w:val="0072574B"/>
    <w:rsid w:val="00730A7F"/>
    <w:rsid w:val="00733496"/>
    <w:rsid w:val="00735A30"/>
    <w:rsid w:val="00737E03"/>
    <w:rsid w:val="00741F23"/>
    <w:rsid w:val="007431F1"/>
    <w:rsid w:val="00757ECF"/>
    <w:rsid w:val="007607E7"/>
    <w:rsid w:val="0077574E"/>
    <w:rsid w:val="007809EC"/>
    <w:rsid w:val="007840C1"/>
    <w:rsid w:val="007845BB"/>
    <w:rsid w:val="00785C2C"/>
    <w:rsid w:val="0079472E"/>
    <w:rsid w:val="00795DFA"/>
    <w:rsid w:val="007A03D9"/>
    <w:rsid w:val="007A2CD0"/>
    <w:rsid w:val="007A6942"/>
    <w:rsid w:val="007B5925"/>
    <w:rsid w:val="007C5D89"/>
    <w:rsid w:val="007D1276"/>
    <w:rsid w:val="007D4240"/>
    <w:rsid w:val="007D5E3D"/>
    <w:rsid w:val="007D5EAF"/>
    <w:rsid w:val="007E092F"/>
    <w:rsid w:val="007E0E1B"/>
    <w:rsid w:val="007F6D8A"/>
    <w:rsid w:val="007F70D2"/>
    <w:rsid w:val="007F778A"/>
    <w:rsid w:val="00805F4D"/>
    <w:rsid w:val="00806323"/>
    <w:rsid w:val="00806A12"/>
    <w:rsid w:val="00810DBC"/>
    <w:rsid w:val="0082060B"/>
    <w:rsid w:val="00820983"/>
    <w:rsid w:val="00822EDA"/>
    <w:rsid w:val="00827FD4"/>
    <w:rsid w:val="008317E3"/>
    <w:rsid w:val="00832366"/>
    <w:rsid w:val="00835716"/>
    <w:rsid w:val="008375A0"/>
    <w:rsid w:val="008417CC"/>
    <w:rsid w:val="00842787"/>
    <w:rsid w:val="00847292"/>
    <w:rsid w:val="008500B2"/>
    <w:rsid w:val="0085086D"/>
    <w:rsid w:val="00857FCC"/>
    <w:rsid w:val="00864906"/>
    <w:rsid w:val="00871399"/>
    <w:rsid w:val="0087287E"/>
    <w:rsid w:val="00872AAE"/>
    <w:rsid w:val="00887F4D"/>
    <w:rsid w:val="00890719"/>
    <w:rsid w:val="00890C20"/>
    <w:rsid w:val="00891EF5"/>
    <w:rsid w:val="0089474D"/>
    <w:rsid w:val="008B07D5"/>
    <w:rsid w:val="008B201F"/>
    <w:rsid w:val="008B5349"/>
    <w:rsid w:val="008B6E72"/>
    <w:rsid w:val="008C172E"/>
    <w:rsid w:val="008C4DE7"/>
    <w:rsid w:val="008D2B75"/>
    <w:rsid w:val="008D3D96"/>
    <w:rsid w:val="008D45FD"/>
    <w:rsid w:val="008E1A44"/>
    <w:rsid w:val="008E1FA3"/>
    <w:rsid w:val="008E48CD"/>
    <w:rsid w:val="008F4CEA"/>
    <w:rsid w:val="00906482"/>
    <w:rsid w:val="00911A9F"/>
    <w:rsid w:val="00914482"/>
    <w:rsid w:val="00933177"/>
    <w:rsid w:val="00933EC4"/>
    <w:rsid w:val="009344AC"/>
    <w:rsid w:val="00936D62"/>
    <w:rsid w:val="00936D92"/>
    <w:rsid w:val="009414A1"/>
    <w:rsid w:val="009417B9"/>
    <w:rsid w:val="00942065"/>
    <w:rsid w:val="00945B4B"/>
    <w:rsid w:val="00953339"/>
    <w:rsid w:val="00954BC0"/>
    <w:rsid w:val="00955CC6"/>
    <w:rsid w:val="0095742C"/>
    <w:rsid w:val="00960D16"/>
    <w:rsid w:val="00965D49"/>
    <w:rsid w:val="0097033B"/>
    <w:rsid w:val="00973B4D"/>
    <w:rsid w:val="00975F37"/>
    <w:rsid w:val="009911FB"/>
    <w:rsid w:val="0099735F"/>
    <w:rsid w:val="009A000A"/>
    <w:rsid w:val="009A07CF"/>
    <w:rsid w:val="009A397C"/>
    <w:rsid w:val="009A60B0"/>
    <w:rsid w:val="009A6FEA"/>
    <w:rsid w:val="009B4302"/>
    <w:rsid w:val="009C1EE0"/>
    <w:rsid w:val="009C4E1E"/>
    <w:rsid w:val="009D003F"/>
    <w:rsid w:val="009D0363"/>
    <w:rsid w:val="009D3B1A"/>
    <w:rsid w:val="009D4238"/>
    <w:rsid w:val="009D44AA"/>
    <w:rsid w:val="009D6B17"/>
    <w:rsid w:val="009E3EFA"/>
    <w:rsid w:val="009E6A64"/>
    <w:rsid w:val="009F46EB"/>
    <w:rsid w:val="00A00252"/>
    <w:rsid w:val="00A04634"/>
    <w:rsid w:val="00A0573C"/>
    <w:rsid w:val="00A06B6F"/>
    <w:rsid w:val="00A10C08"/>
    <w:rsid w:val="00A10E02"/>
    <w:rsid w:val="00A134E7"/>
    <w:rsid w:val="00A15E9E"/>
    <w:rsid w:val="00A1751D"/>
    <w:rsid w:val="00A22239"/>
    <w:rsid w:val="00A22F57"/>
    <w:rsid w:val="00A276FD"/>
    <w:rsid w:val="00A27E6C"/>
    <w:rsid w:val="00A362F3"/>
    <w:rsid w:val="00A45B44"/>
    <w:rsid w:val="00A45FE2"/>
    <w:rsid w:val="00A46C07"/>
    <w:rsid w:val="00A47C15"/>
    <w:rsid w:val="00A519DC"/>
    <w:rsid w:val="00A55441"/>
    <w:rsid w:val="00A57190"/>
    <w:rsid w:val="00A61919"/>
    <w:rsid w:val="00A7180F"/>
    <w:rsid w:val="00A719AA"/>
    <w:rsid w:val="00A71CA7"/>
    <w:rsid w:val="00A72216"/>
    <w:rsid w:val="00A75699"/>
    <w:rsid w:val="00A80BF1"/>
    <w:rsid w:val="00A85746"/>
    <w:rsid w:val="00A86C68"/>
    <w:rsid w:val="00A901ED"/>
    <w:rsid w:val="00A91634"/>
    <w:rsid w:val="00A9287F"/>
    <w:rsid w:val="00A96E4D"/>
    <w:rsid w:val="00AA51D8"/>
    <w:rsid w:val="00AC0AE9"/>
    <w:rsid w:val="00AC2035"/>
    <w:rsid w:val="00AC3374"/>
    <w:rsid w:val="00AC371B"/>
    <w:rsid w:val="00AD0B57"/>
    <w:rsid w:val="00AD2D78"/>
    <w:rsid w:val="00AD4518"/>
    <w:rsid w:val="00AD66A8"/>
    <w:rsid w:val="00AE0268"/>
    <w:rsid w:val="00AE1B95"/>
    <w:rsid w:val="00AE5863"/>
    <w:rsid w:val="00AE6962"/>
    <w:rsid w:val="00AE7BA7"/>
    <w:rsid w:val="00AF1870"/>
    <w:rsid w:val="00AF50EC"/>
    <w:rsid w:val="00B05B6F"/>
    <w:rsid w:val="00B06D6E"/>
    <w:rsid w:val="00B13A28"/>
    <w:rsid w:val="00B13B94"/>
    <w:rsid w:val="00B1691E"/>
    <w:rsid w:val="00B1697B"/>
    <w:rsid w:val="00B200AE"/>
    <w:rsid w:val="00B27386"/>
    <w:rsid w:val="00B27724"/>
    <w:rsid w:val="00B318D1"/>
    <w:rsid w:val="00B4038D"/>
    <w:rsid w:val="00B42474"/>
    <w:rsid w:val="00B42BEC"/>
    <w:rsid w:val="00B47379"/>
    <w:rsid w:val="00B5117B"/>
    <w:rsid w:val="00B513F5"/>
    <w:rsid w:val="00B53EC2"/>
    <w:rsid w:val="00B5493D"/>
    <w:rsid w:val="00B617C5"/>
    <w:rsid w:val="00B619AF"/>
    <w:rsid w:val="00B71F99"/>
    <w:rsid w:val="00B82BD3"/>
    <w:rsid w:val="00B91421"/>
    <w:rsid w:val="00B93837"/>
    <w:rsid w:val="00BA62D6"/>
    <w:rsid w:val="00BB1465"/>
    <w:rsid w:val="00BC2290"/>
    <w:rsid w:val="00BC5044"/>
    <w:rsid w:val="00BD1B63"/>
    <w:rsid w:val="00BD2811"/>
    <w:rsid w:val="00BD3E67"/>
    <w:rsid w:val="00BD4177"/>
    <w:rsid w:val="00BD7990"/>
    <w:rsid w:val="00BF26F5"/>
    <w:rsid w:val="00BF28F1"/>
    <w:rsid w:val="00C0073B"/>
    <w:rsid w:val="00C0082C"/>
    <w:rsid w:val="00C01562"/>
    <w:rsid w:val="00C03359"/>
    <w:rsid w:val="00C06EB7"/>
    <w:rsid w:val="00C075A7"/>
    <w:rsid w:val="00C1120D"/>
    <w:rsid w:val="00C1126F"/>
    <w:rsid w:val="00C117B8"/>
    <w:rsid w:val="00C11D7C"/>
    <w:rsid w:val="00C11F52"/>
    <w:rsid w:val="00C20EC5"/>
    <w:rsid w:val="00C222A1"/>
    <w:rsid w:val="00C27687"/>
    <w:rsid w:val="00C31DD1"/>
    <w:rsid w:val="00C3260E"/>
    <w:rsid w:val="00C34E57"/>
    <w:rsid w:val="00C35E43"/>
    <w:rsid w:val="00C35EBF"/>
    <w:rsid w:val="00C36F73"/>
    <w:rsid w:val="00C43C56"/>
    <w:rsid w:val="00C465F6"/>
    <w:rsid w:val="00C650E7"/>
    <w:rsid w:val="00C65839"/>
    <w:rsid w:val="00C731B9"/>
    <w:rsid w:val="00C73656"/>
    <w:rsid w:val="00C80A2A"/>
    <w:rsid w:val="00C84953"/>
    <w:rsid w:val="00C9347B"/>
    <w:rsid w:val="00CA6F23"/>
    <w:rsid w:val="00CB6D35"/>
    <w:rsid w:val="00CB6FDF"/>
    <w:rsid w:val="00CB7A3A"/>
    <w:rsid w:val="00CC1714"/>
    <w:rsid w:val="00CC35DE"/>
    <w:rsid w:val="00CD7276"/>
    <w:rsid w:val="00CD74EC"/>
    <w:rsid w:val="00CE317A"/>
    <w:rsid w:val="00CF0B27"/>
    <w:rsid w:val="00CF0F09"/>
    <w:rsid w:val="00CF3428"/>
    <w:rsid w:val="00CF4EF7"/>
    <w:rsid w:val="00CF5220"/>
    <w:rsid w:val="00D06E8D"/>
    <w:rsid w:val="00D16C26"/>
    <w:rsid w:val="00D209E9"/>
    <w:rsid w:val="00D2255B"/>
    <w:rsid w:val="00D31350"/>
    <w:rsid w:val="00D34940"/>
    <w:rsid w:val="00D3702C"/>
    <w:rsid w:val="00D37603"/>
    <w:rsid w:val="00D37982"/>
    <w:rsid w:val="00D41F6A"/>
    <w:rsid w:val="00D559A9"/>
    <w:rsid w:val="00D565C9"/>
    <w:rsid w:val="00D6148A"/>
    <w:rsid w:val="00D61EAA"/>
    <w:rsid w:val="00D62A47"/>
    <w:rsid w:val="00D63F6C"/>
    <w:rsid w:val="00D85912"/>
    <w:rsid w:val="00D86227"/>
    <w:rsid w:val="00DA1C6A"/>
    <w:rsid w:val="00DA31EF"/>
    <w:rsid w:val="00DA3BFB"/>
    <w:rsid w:val="00DA5D3C"/>
    <w:rsid w:val="00DB1B85"/>
    <w:rsid w:val="00DB5CE5"/>
    <w:rsid w:val="00DC406C"/>
    <w:rsid w:val="00DC639E"/>
    <w:rsid w:val="00DC64FF"/>
    <w:rsid w:val="00DC7B70"/>
    <w:rsid w:val="00DD0909"/>
    <w:rsid w:val="00DD17C9"/>
    <w:rsid w:val="00DD5323"/>
    <w:rsid w:val="00DE0971"/>
    <w:rsid w:val="00DE2C6C"/>
    <w:rsid w:val="00DE373C"/>
    <w:rsid w:val="00DE7B22"/>
    <w:rsid w:val="00DF2F38"/>
    <w:rsid w:val="00E00A31"/>
    <w:rsid w:val="00E05253"/>
    <w:rsid w:val="00E125B7"/>
    <w:rsid w:val="00E154B1"/>
    <w:rsid w:val="00E17980"/>
    <w:rsid w:val="00E249EA"/>
    <w:rsid w:val="00E24AD6"/>
    <w:rsid w:val="00E30D53"/>
    <w:rsid w:val="00E30EE3"/>
    <w:rsid w:val="00E34DB2"/>
    <w:rsid w:val="00E408A3"/>
    <w:rsid w:val="00E43C83"/>
    <w:rsid w:val="00E4555A"/>
    <w:rsid w:val="00E46439"/>
    <w:rsid w:val="00E4690D"/>
    <w:rsid w:val="00E509A6"/>
    <w:rsid w:val="00E55205"/>
    <w:rsid w:val="00E57501"/>
    <w:rsid w:val="00E602B9"/>
    <w:rsid w:val="00E61403"/>
    <w:rsid w:val="00E71F94"/>
    <w:rsid w:val="00E729FB"/>
    <w:rsid w:val="00E81F3B"/>
    <w:rsid w:val="00E86888"/>
    <w:rsid w:val="00E87E1C"/>
    <w:rsid w:val="00E9295A"/>
    <w:rsid w:val="00EA024B"/>
    <w:rsid w:val="00EA0CB9"/>
    <w:rsid w:val="00EA515A"/>
    <w:rsid w:val="00EA6753"/>
    <w:rsid w:val="00EB18F1"/>
    <w:rsid w:val="00EB59AE"/>
    <w:rsid w:val="00EB6E72"/>
    <w:rsid w:val="00EB76B6"/>
    <w:rsid w:val="00EC7EA6"/>
    <w:rsid w:val="00ED2A35"/>
    <w:rsid w:val="00ED685E"/>
    <w:rsid w:val="00EE47A2"/>
    <w:rsid w:val="00EE6FFC"/>
    <w:rsid w:val="00EF1409"/>
    <w:rsid w:val="00EF35DA"/>
    <w:rsid w:val="00EF6DC5"/>
    <w:rsid w:val="00EF6F23"/>
    <w:rsid w:val="00F01FB7"/>
    <w:rsid w:val="00F064DF"/>
    <w:rsid w:val="00F17462"/>
    <w:rsid w:val="00F23999"/>
    <w:rsid w:val="00F26CAA"/>
    <w:rsid w:val="00F27CD8"/>
    <w:rsid w:val="00F31ADD"/>
    <w:rsid w:val="00F501D6"/>
    <w:rsid w:val="00F5120B"/>
    <w:rsid w:val="00F52E6A"/>
    <w:rsid w:val="00F55B31"/>
    <w:rsid w:val="00F603AD"/>
    <w:rsid w:val="00F637C8"/>
    <w:rsid w:val="00F73D35"/>
    <w:rsid w:val="00F74E98"/>
    <w:rsid w:val="00F80563"/>
    <w:rsid w:val="00F82E65"/>
    <w:rsid w:val="00F876F2"/>
    <w:rsid w:val="00F877EF"/>
    <w:rsid w:val="00F91364"/>
    <w:rsid w:val="00F96E48"/>
    <w:rsid w:val="00FA2454"/>
    <w:rsid w:val="00FA2B9E"/>
    <w:rsid w:val="00FA2DCB"/>
    <w:rsid w:val="00FA5517"/>
    <w:rsid w:val="00FA7109"/>
    <w:rsid w:val="00FA7583"/>
    <w:rsid w:val="00FB20BC"/>
    <w:rsid w:val="00FB392E"/>
    <w:rsid w:val="00FD0973"/>
    <w:rsid w:val="00FD28D7"/>
    <w:rsid w:val="00FD31CA"/>
    <w:rsid w:val="00FE048D"/>
    <w:rsid w:val="00FE2623"/>
    <w:rsid w:val="00FE632A"/>
    <w:rsid w:val="00FE67AE"/>
    <w:rsid w:val="00FF616B"/>
    <w:rsid w:val="01120D23"/>
    <w:rsid w:val="019DF3B5"/>
    <w:rsid w:val="01D12DE1"/>
    <w:rsid w:val="02121335"/>
    <w:rsid w:val="025EEE32"/>
    <w:rsid w:val="03A76D5D"/>
    <w:rsid w:val="03C48894"/>
    <w:rsid w:val="03FABE93"/>
    <w:rsid w:val="043843D1"/>
    <w:rsid w:val="05968EF4"/>
    <w:rsid w:val="071326A4"/>
    <w:rsid w:val="07325F55"/>
    <w:rsid w:val="079EA55F"/>
    <w:rsid w:val="080DA5CE"/>
    <w:rsid w:val="084106DD"/>
    <w:rsid w:val="0858232F"/>
    <w:rsid w:val="088154B9"/>
    <w:rsid w:val="0908B2F9"/>
    <w:rsid w:val="096FEC85"/>
    <w:rsid w:val="0ACA4977"/>
    <w:rsid w:val="0C71BCCF"/>
    <w:rsid w:val="0C8592EF"/>
    <w:rsid w:val="0D171135"/>
    <w:rsid w:val="0DFA1E94"/>
    <w:rsid w:val="0E216350"/>
    <w:rsid w:val="0EA52A10"/>
    <w:rsid w:val="0F849E5C"/>
    <w:rsid w:val="1087366E"/>
    <w:rsid w:val="1167A43F"/>
    <w:rsid w:val="12754355"/>
    <w:rsid w:val="12A33E6E"/>
    <w:rsid w:val="1453A981"/>
    <w:rsid w:val="148F97B6"/>
    <w:rsid w:val="14D84066"/>
    <w:rsid w:val="154AFD05"/>
    <w:rsid w:val="155180E2"/>
    <w:rsid w:val="19598DC7"/>
    <w:rsid w:val="1995F7CA"/>
    <w:rsid w:val="1A4D7F52"/>
    <w:rsid w:val="1A5CA8A8"/>
    <w:rsid w:val="1B1809F5"/>
    <w:rsid w:val="1BD706CB"/>
    <w:rsid w:val="1C9D346D"/>
    <w:rsid w:val="1CA8C5D4"/>
    <w:rsid w:val="1CA9B3DB"/>
    <w:rsid w:val="1D7E5B1F"/>
    <w:rsid w:val="1D897C2A"/>
    <w:rsid w:val="1E0F39C3"/>
    <w:rsid w:val="1E199FBF"/>
    <w:rsid w:val="1E449635"/>
    <w:rsid w:val="1E45843C"/>
    <w:rsid w:val="1ED18899"/>
    <w:rsid w:val="1FB82313"/>
    <w:rsid w:val="1FC8CF4B"/>
    <w:rsid w:val="1FFC8E2E"/>
    <w:rsid w:val="201D94B8"/>
    <w:rsid w:val="20BF2152"/>
    <w:rsid w:val="20DE32AB"/>
    <w:rsid w:val="210D7223"/>
    <w:rsid w:val="212D2F6D"/>
    <w:rsid w:val="215DF4BA"/>
    <w:rsid w:val="217DC809"/>
    <w:rsid w:val="22DCF567"/>
    <w:rsid w:val="23041AA3"/>
    <w:rsid w:val="24843B83"/>
    <w:rsid w:val="2512F29B"/>
    <w:rsid w:val="256C2413"/>
    <w:rsid w:val="25783132"/>
    <w:rsid w:val="258ADFFA"/>
    <w:rsid w:val="25FD98DB"/>
    <w:rsid w:val="26D904D6"/>
    <w:rsid w:val="27591174"/>
    <w:rsid w:val="277C4BE0"/>
    <w:rsid w:val="2817F7D4"/>
    <w:rsid w:val="289630A7"/>
    <w:rsid w:val="28AEAA5E"/>
    <w:rsid w:val="28FF5BAB"/>
    <w:rsid w:val="298C8484"/>
    <w:rsid w:val="29BDC6B5"/>
    <w:rsid w:val="2A033E52"/>
    <w:rsid w:val="2A0F4711"/>
    <w:rsid w:val="2A326023"/>
    <w:rsid w:val="2B0B81F2"/>
    <w:rsid w:val="2B2854E5"/>
    <w:rsid w:val="2B599716"/>
    <w:rsid w:val="2BD6E4E3"/>
    <w:rsid w:val="2C2C4426"/>
    <w:rsid w:val="2C4F09A7"/>
    <w:rsid w:val="2CA5BB7A"/>
    <w:rsid w:val="2CAAFCE9"/>
    <w:rsid w:val="2CB9C2A5"/>
    <w:rsid w:val="2CE6FDC0"/>
    <w:rsid w:val="2DC4ABCB"/>
    <w:rsid w:val="2E089530"/>
    <w:rsid w:val="2E7E8E38"/>
    <w:rsid w:val="2ED18691"/>
    <w:rsid w:val="2EE93840"/>
    <w:rsid w:val="2FA8E81D"/>
    <w:rsid w:val="2FE6E09B"/>
    <w:rsid w:val="2FF1AB53"/>
    <w:rsid w:val="3286EF80"/>
    <w:rsid w:val="33E4CEF4"/>
    <w:rsid w:val="33FBD430"/>
    <w:rsid w:val="3408C5B8"/>
    <w:rsid w:val="35541BBB"/>
    <w:rsid w:val="356BEAE1"/>
    <w:rsid w:val="3656221F"/>
    <w:rsid w:val="377CCB4E"/>
    <w:rsid w:val="37F1F280"/>
    <w:rsid w:val="3800EB5B"/>
    <w:rsid w:val="38043D2A"/>
    <w:rsid w:val="3820F93E"/>
    <w:rsid w:val="383811F5"/>
    <w:rsid w:val="3845C5F8"/>
    <w:rsid w:val="38538896"/>
    <w:rsid w:val="38BC4417"/>
    <w:rsid w:val="38CDE344"/>
    <w:rsid w:val="39505BF0"/>
    <w:rsid w:val="39916D77"/>
    <w:rsid w:val="3A59149D"/>
    <w:rsid w:val="3A8BA767"/>
    <w:rsid w:val="3B0A360F"/>
    <w:rsid w:val="3B2D3DD8"/>
    <w:rsid w:val="3B7279B4"/>
    <w:rsid w:val="3C058406"/>
    <w:rsid w:val="3C06918D"/>
    <w:rsid w:val="3C0A1F77"/>
    <w:rsid w:val="3C2777C8"/>
    <w:rsid w:val="3CBCAF64"/>
    <w:rsid w:val="3CC563A3"/>
    <w:rsid w:val="3CFC18D8"/>
    <w:rsid w:val="3D74960D"/>
    <w:rsid w:val="3E64DE9A"/>
    <w:rsid w:val="3E9A2F69"/>
    <w:rsid w:val="3F5F565D"/>
    <w:rsid w:val="403CAFD2"/>
    <w:rsid w:val="404D5DDE"/>
    <w:rsid w:val="405F5B8F"/>
    <w:rsid w:val="40F38595"/>
    <w:rsid w:val="42356849"/>
    <w:rsid w:val="426B81D6"/>
    <w:rsid w:val="42880C9A"/>
    <w:rsid w:val="42A63321"/>
    <w:rsid w:val="42FF66CB"/>
    <w:rsid w:val="43081D9F"/>
    <w:rsid w:val="43894080"/>
    <w:rsid w:val="440F13D4"/>
    <w:rsid w:val="448F0A6E"/>
    <w:rsid w:val="44B1EC7C"/>
    <w:rsid w:val="44D4201E"/>
    <w:rsid w:val="455ED965"/>
    <w:rsid w:val="455FED91"/>
    <w:rsid w:val="4619B17A"/>
    <w:rsid w:val="4636AF59"/>
    <w:rsid w:val="466D3151"/>
    <w:rsid w:val="472DF938"/>
    <w:rsid w:val="47DA26B5"/>
    <w:rsid w:val="48643DAD"/>
    <w:rsid w:val="48C5853B"/>
    <w:rsid w:val="4928D87E"/>
    <w:rsid w:val="49708F3A"/>
    <w:rsid w:val="49E3562E"/>
    <w:rsid w:val="4A7A3E51"/>
    <w:rsid w:val="4B809FF7"/>
    <w:rsid w:val="4C6F170F"/>
    <w:rsid w:val="4D6A03D1"/>
    <w:rsid w:val="4DE15979"/>
    <w:rsid w:val="4DEDD98B"/>
    <w:rsid w:val="4E0A1E22"/>
    <w:rsid w:val="4E2316C6"/>
    <w:rsid w:val="4EAA138E"/>
    <w:rsid w:val="4F2623A8"/>
    <w:rsid w:val="4FD1FA7E"/>
    <w:rsid w:val="50704D82"/>
    <w:rsid w:val="507CABCB"/>
    <w:rsid w:val="511890FF"/>
    <w:rsid w:val="5126BE2A"/>
    <w:rsid w:val="53347CE7"/>
    <w:rsid w:val="5349B44E"/>
    <w:rsid w:val="53B03C55"/>
    <w:rsid w:val="53FD6644"/>
    <w:rsid w:val="54256387"/>
    <w:rsid w:val="54EEEC8E"/>
    <w:rsid w:val="55002CB5"/>
    <w:rsid w:val="5500DB94"/>
    <w:rsid w:val="5597E9D8"/>
    <w:rsid w:val="55EE3329"/>
    <w:rsid w:val="55FA2F4D"/>
    <w:rsid w:val="56841C0D"/>
    <w:rsid w:val="570F050D"/>
    <w:rsid w:val="5743DBEC"/>
    <w:rsid w:val="57787429"/>
    <w:rsid w:val="58452451"/>
    <w:rsid w:val="5848E7A0"/>
    <w:rsid w:val="58D6BEA4"/>
    <w:rsid w:val="59C48052"/>
    <w:rsid w:val="5A32BF3B"/>
    <w:rsid w:val="5B21A492"/>
    <w:rsid w:val="5B4CC954"/>
    <w:rsid w:val="5B6F6E39"/>
    <w:rsid w:val="5C4F0525"/>
    <w:rsid w:val="5C5EBD0E"/>
    <w:rsid w:val="5CEAB271"/>
    <w:rsid w:val="5D5BEFE7"/>
    <w:rsid w:val="5DB31D70"/>
    <w:rsid w:val="5E820CD5"/>
    <w:rsid w:val="5E942ED3"/>
    <w:rsid w:val="5EA6E063"/>
    <w:rsid w:val="5FF67A0B"/>
    <w:rsid w:val="60A48DBB"/>
    <w:rsid w:val="613AFE65"/>
    <w:rsid w:val="61FB62A1"/>
    <w:rsid w:val="62001975"/>
    <w:rsid w:val="63195129"/>
    <w:rsid w:val="63359A01"/>
    <w:rsid w:val="642894CD"/>
    <w:rsid w:val="64B1983E"/>
    <w:rsid w:val="65966BB0"/>
    <w:rsid w:val="660E6F88"/>
    <w:rsid w:val="667AF869"/>
    <w:rsid w:val="675092BC"/>
    <w:rsid w:val="6767CDDB"/>
    <w:rsid w:val="67DCABAF"/>
    <w:rsid w:val="6800BE1C"/>
    <w:rsid w:val="684C9BBD"/>
    <w:rsid w:val="686FB22E"/>
    <w:rsid w:val="6893EA47"/>
    <w:rsid w:val="68A28816"/>
    <w:rsid w:val="6C3A2778"/>
    <w:rsid w:val="6C6BFE0F"/>
    <w:rsid w:val="6C9B9581"/>
    <w:rsid w:val="6D12DC9B"/>
    <w:rsid w:val="6E005910"/>
    <w:rsid w:val="6E235282"/>
    <w:rsid w:val="6E2ABC70"/>
    <w:rsid w:val="6E5B1E5D"/>
    <w:rsid w:val="6EAEACFC"/>
    <w:rsid w:val="6F2163A1"/>
    <w:rsid w:val="6F2D15A9"/>
    <w:rsid w:val="6FF96EE7"/>
    <w:rsid w:val="70781876"/>
    <w:rsid w:val="708499DC"/>
    <w:rsid w:val="70AF9891"/>
    <w:rsid w:val="710402EB"/>
    <w:rsid w:val="7124377F"/>
    <w:rsid w:val="712BD4B1"/>
    <w:rsid w:val="717EC506"/>
    <w:rsid w:val="71A56B4B"/>
    <w:rsid w:val="71D9074B"/>
    <w:rsid w:val="726A2BB7"/>
    <w:rsid w:val="737F7B8F"/>
    <w:rsid w:val="74141433"/>
    <w:rsid w:val="745C6FB9"/>
    <w:rsid w:val="7521EEE7"/>
    <w:rsid w:val="758656F9"/>
    <w:rsid w:val="75DFEB3B"/>
    <w:rsid w:val="764477F0"/>
    <w:rsid w:val="777F4819"/>
    <w:rsid w:val="78C09966"/>
    <w:rsid w:val="79178BFD"/>
    <w:rsid w:val="79CB9EEE"/>
    <w:rsid w:val="7A03616A"/>
    <w:rsid w:val="7A7A1B38"/>
    <w:rsid w:val="7B5F5276"/>
    <w:rsid w:val="7BE05F7C"/>
    <w:rsid w:val="7C9980E3"/>
    <w:rsid w:val="7CADD953"/>
    <w:rsid w:val="7D15CCED"/>
    <w:rsid w:val="7D1DB5C7"/>
    <w:rsid w:val="7D261CBF"/>
    <w:rsid w:val="7DA9CAAB"/>
    <w:rsid w:val="7DB8D9D9"/>
    <w:rsid w:val="7DD1AD6C"/>
    <w:rsid w:val="7ED6D28D"/>
    <w:rsid w:val="7F0814BE"/>
    <w:rsid w:val="7F274D6F"/>
    <w:rsid w:val="7FFD8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DA62A3"/>
  <w15:chartTrackingRefBased/>
  <w15:docId w15:val="{4AC8D93F-0746-4384-B57B-AEC3407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92"/>
    <w:pPr>
      <w:spacing w:after="0" w:line="288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7386"/>
    <w:pPr>
      <w:numPr>
        <w:numId w:val="1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B2738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B27386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B27386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B27386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B27386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B27386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B2738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B27386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7386"/>
    <w:rPr>
      <w:rFonts w:ascii="Times New Roman" w:eastAsia="Times New Roman" w:hAnsi="Times New Roman" w:cs="Times New Roman"/>
      <w:kern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27386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rsid w:val="00B27386"/>
    <w:rPr>
      <w:rFonts w:ascii="Times New Roman" w:eastAsia="Times New Roman" w:hAnsi="Times New Roman" w:cs="Times New Roman"/>
      <w:lang w:val="en-US"/>
    </w:rPr>
  </w:style>
  <w:style w:type="character" w:customStyle="1" w:styleId="Heading4Char">
    <w:name w:val="Heading 4 Char"/>
    <w:basedOn w:val="DefaultParagraphFont"/>
    <w:link w:val="Heading4"/>
    <w:rsid w:val="00B27386"/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B27386"/>
    <w:rPr>
      <w:rFonts w:ascii="Times New Roman" w:eastAsia="Times New Roman" w:hAnsi="Times New Roman" w:cs="Times New Roman"/>
      <w:lang w:val="en-US"/>
    </w:rPr>
  </w:style>
  <w:style w:type="character" w:customStyle="1" w:styleId="Heading6Char">
    <w:name w:val="Heading 6 Char"/>
    <w:basedOn w:val="DefaultParagraphFont"/>
    <w:link w:val="Heading6"/>
    <w:rsid w:val="00B27386"/>
    <w:rPr>
      <w:rFonts w:ascii="Times New Roman" w:eastAsia="Times New Roman" w:hAnsi="Times New Roman" w:cs="Times New Roman"/>
      <w:lang w:val="en-US"/>
    </w:rPr>
  </w:style>
  <w:style w:type="character" w:customStyle="1" w:styleId="Heading7Char">
    <w:name w:val="Heading 7 Char"/>
    <w:basedOn w:val="DefaultParagraphFont"/>
    <w:link w:val="Heading7"/>
    <w:rsid w:val="00B27386"/>
    <w:rPr>
      <w:rFonts w:ascii="Times New Roman" w:eastAsia="Times New Roman" w:hAnsi="Times New Roman" w:cs="Times New Roman"/>
      <w:lang w:val="en-US"/>
    </w:rPr>
  </w:style>
  <w:style w:type="character" w:customStyle="1" w:styleId="Heading8Char">
    <w:name w:val="Heading 8 Char"/>
    <w:basedOn w:val="DefaultParagraphFont"/>
    <w:link w:val="Heading8"/>
    <w:rsid w:val="00B27386"/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rsid w:val="00B27386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qFormat/>
    <w:rsid w:val="00B27386"/>
  </w:style>
  <w:style w:type="character" w:customStyle="1" w:styleId="FooterChar">
    <w:name w:val="Footer Char"/>
    <w:basedOn w:val="DefaultParagraphFont"/>
    <w:link w:val="Footer"/>
    <w:rsid w:val="00B27386"/>
    <w:rPr>
      <w:rFonts w:ascii="Times New Roman" w:eastAsia="Times New Roman" w:hAnsi="Times New Roman" w:cs="Times New Roman"/>
      <w:lang w:val="en-US"/>
    </w:rPr>
  </w:style>
  <w:style w:type="paragraph" w:styleId="FootnoteText">
    <w:name w:val="footnote text"/>
    <w:basedOn w:val="Normal"/>
    <w:link w:val="FootnoteTextChar"/>
    <w:qFormat/>
    <w:rsid w:val="00B2738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27386"/>
    <w:rPr>
      <w:rFonts w:ascii="Times New Roman" w:eastAsia="Times New Roman" w:hAnsi="Times New Roman" w:cs="Times New Roman"/>
      <w:sz w:val="16"/>
      <w:lang w:val="en-US"/>
    </w:rPr>
  </w:style>
  <w:style w:type="paragraph" w:styleId="Header">
    <w:name w:val="header"/>
    <w:basedOn w:val="Normal"/>
    <w:link w:val="HeaderChar"/>
    <w:qFormat/>
    <w:rsid w:val="00B27386"/>
  </w:style>
  <w:style w:type="character" w:customStyle="1" w:styleId="HeaderChar">
    <w:name w:val="Header Char"/>
    <w:basedOn w:val="DefaultParagraphFont"/>
    <w:link w:val="Header"/>
    <w:rsid w:val="00B27386"/>
    <w:rPr>
      <w:rFonts w:ascii="Times New Roman" w:eastAsia="Times New Roman" w:hAnsi="Times New Roman" w:cs="Times New Roman"/>
      <w:lang w:val="en-US"/>
    </w:rPr>
  </w:style>
  <w:style w:type="paragraph" w:customStyle="1" w:styleId="quotes">
    <w:name w:val="quotes"/>
    <w:basedOn w:val="Normal"/>
    <w:next w:val="Normal"/>
    <w:rsid w:val="00B27386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B27386"/>
    <w:rPr>
      <w:sz w:val="24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92D75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B1697B"/>
    <w:pPr>
      <w:spacing w:line="240" w:lineRule="auto"/>
      <w:jc w:val="left"/>
    </w:pPr>
    <w:rPr>
      <w:rFonts w:eastAsiaTheme="minorHAnsi"/>
      <w:color w:val="000000"/>
      <w:sz w:val="24"/>
      <w:szCs w:val="24"/>
      <w:lang w:val="fr-B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7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8E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8E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35EB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C3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B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4D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rsid w:val="000D765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55CC6"/>
    <w:pPr>
      <w:spacing w:before="100" w:beforeAutospacing="1" w:after="100" w:afterAutospacing="1" w:line="240" w:lineRule="auto"/>
      <w:jc w:val="left"/>
    </w:pPr>
    <w:rPr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0C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120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5E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13C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36C0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619A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commission.europa.eu/document/e6cd4328-673c-4e7a-8683-f63ffb2cf648_en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3c6bf28d14f04992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3af13-4045-4f88-9d7b-618e30f79918">A6WAAD5KZT2Q-604569563-3935</_dlc_DocId>
    <_dlc_DocIdUrl xmlns="1a33af13-4045-4f88-9d7b-618e30f79918">
      <Url>http://dm/eesc/2025/_layouts/15/DocIdRedir.aspx?ID=A6WAAD5KZT2Q-604569563-3935</Url>
      <Description>A6WAAD5KZT2Q-604569563-3935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TCD</TermName>
          <TermId xmlns="http://schemas.microsoft.com/office/infopath/2007/PartnerControls">cd9d6eb6-3f4f-424a-b2d1-57c9d450eaaf</TermId>
        </TermInfo>
      </Terms>
    </DocumentType_0>
    <Procedure xmlns="1a33af13-4045-4f88-9d7b-618e30f79918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a33af13-4045-4f88-9d7b-618e30f79918">2025-03-05T12:00:00+00:00</ProductionDate>
    <FicheYear xmlns="1a33af13-4045-4f88-9d7b-618e30f79918" xsi:nil="true"/>
    <DocumentNumber xmlns="be3ca9a7-9286-4008-99ec-aebc20da9dc2">848</DocumentNumber>
    <DossierNumber xmlns="1a33af13-4045-4f88-9d7b-618e30f7991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1a33af13-4045-4f88-9d7b-618e30f79918" xsi:nil="true"/>
    <TaxCatchAll xmlns="1a33af13-4045-4f88-9d7b-618e30f79918">
      <Value>15</Value>
      <Value>13</Value>
      <Value>12</Value>
      <Value>39</Value>
      <Value>8</Value>
      <Value>23</Value>
      <Value>5</Value>
      <Value>19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1a33af13-4045-4f88-9d7b-618e30f79918" xsi:nil="true"/>
    <DocumentYear xmlns="1a33af13-4045-4f88-9d7b-618e30f79918">2025</DocumentYear>
    <FicheNumber xmlns="1a33af13-4045-4f88-9d7b-618e30f79918">2269</FicheNumber>
    <OriginalSender xmlns="1a33af13-4045-4f88-9d7b-618e30f79918">
      <UserInfo>
        <DisplayName>TDriveSVCUserProd</DisplayName>
        <AccountId>1358</AccountId>
        <AccountType/>
      </UserInfo>
    </OriginalSender>
    <DocumentPart xmlns="1a33af13-4045-4f88-9d7b-618e30f79918">0</DocumentPart>
    <AdoptionDate xmlns="1a33af13-4045-4f88-9d7b-618e30f79918" xsi:nil="true"/>
    <RequestingService xmlns="1a33af13-4045-4f88-9d7b-618e30f79918">Transports, énergie, infrastructures et société de l'information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be3ca9a7-9286-4008-99ec-aebc20da9dc2" xsi:nil="true"/>
    <DossierName_0 xmlns="http://schemas.microsoft.com/sharepoint/v3/fields">
      <Terms xmlns="http://schemas.microsoft.com/office/infopath/2007/PartnerControls"/>
    </DossierName_0>
    <DocumentVersion xmlns="1a33af13-4045-4f88-9d7b-618e30f79918">0</Documen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6BB3B767F3CF4149BF520211D4A86BC0" ma:contentTypeVersion="4" ma:contentTypeDescription="Defines the documents for Document Manager V2" ma:contentTypeScope="" ma:versionID="8f2b3a3e062f062a7ee8ba210ef02323">
  <xsd:schema xmlns:xsd="http://www.w3.org/2001/XMLSchema" xmlns:xs="http://www.w3.org/2001/XMLSchema" xmlns:p="http://schemas.microsoft.com/office/2006/metadata/properties" xmlns:ns2="1a33af13-4045-4f88-9d7b-618e30f79918" xmlns:ns3="http://schemas.microsoft.com/sharepoint/v3/fields" xmlns:ns4="be3ca9a7-9286-4008-99ec-aebc20da9dc2" targetNamespace="http://schemas.microsoft.com/office/2006/metadata/properties" ma:root="true" ma:fieldsID="f021f5764e4548d9eb17bdf3b768072d" ns2:_="" ns3:_="" ns4:_="">
    <xsd:import namespace="1a33af13-4045-4f88-9d7b-618e30f79918"/>
    <xsd:import namespace="http://schemas.microsoft.com/sharepoint/v3/fields"/>
    <xsd:import namespace="be3ca9a7-9286-4008-99ec-aebc20da9d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af13-4045-4f88-9d7b-618e30f79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c795c8aa-ad9d-4177-b7c3-7e58e1f2dfdf}" ma:internalName="TaxCatchAll" ma:showField="CatchAllData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c795c8aa-ad9d-4177-b7c3-7e58e1f2dfdf}" ma:internalName="TaxCatchAllLabel" ma:readOnly="true" ma:showField="CatchAllDataLabel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ca9a7-9286-4008-99ec-aebc20da9dc2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DD3BF-AAC0-4CCC-9741-A5565B019E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FCAC1-9857-4DEB-8F8F-83B2D5EBA7BD}">
  <ds:schemaRefs>
    <ds:schemaRef ds:uri="http://schemas.microsoft.com/office/2006/metadata/properties"/>
    <ds:schemaRef ds:uri="http://schemas.microsoft.com/office/infopath/2007/PartnerControls"/>
    <ds:schemaRef ds:uri="1a33af13-4045-4f88-9d7b-618e30f79918"/>
    <ds:schemaRef ds:uri="http://schemas.microsoft.com/sharepoint/v3/fields"/>
    <ds:schemaRef ds:uri="be3ca9a7-9286-4008-99ec-aebc20da9dc2"/>
  </ds:schemaRefs>
</ds:datastoreItem>
</file>

<file path=customXml/itemProps3.xml><?xml version="1.0" encoding="utf-8"?>
<ds:datastoreItem xmlns:ds="http://schemas.openxmlformats.org/officeDocument/2006/customXml" ds:itemID="{DDC4CCA6-2E52-4D8F-B7EF-2B90E942D3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E6316-3FA1-43CE-8544-E072F9515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3af13-4045-4f88-9d7b-618e30f79918"/>
    <ds:schemaRef ds:uri="http://schemas.microsoft.com/sharepoint/v3/fields"/>
    <ds:schemaRef ds:uri="be3ca9a7-9286-4008-99ec-aebc20da9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1980</Words>
  <Characters>10894</Characters>
  <Application>Microsoft Office Word</Application>
  <DocSecurity>0</DocSecurity>
  <Lines>90</Lines>
  <Paragraphs>25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29</vt:i4>
      </vt:variant>
      <vt:variant>
        <vt:lpstr>Titel</vt:lpstr>
      </vt:variant>
      <vt:variant>
        <vt:i4>1</vt:i4>
      </vt:variant>
    </vt:vector>
  </HeadingPairs>
  <TitlesOfParts>
    <vt:vector size="32" baseType="lpstr">
      <vt:lpstr>final TEN Work Program for 2024</vt:lpstr>
      <vt:lpstr>final TEN Work Program for 2024</vt:lpstr>
      <vt:lpstr>ENERGY</vt:lpstr>
      <vt:lpstr>    Energy Security </vt:lpstr>
      <vt:lpstr>    In 2025, energy security will be a key focus in the development of new policies.</vt:lpstr>
      <vt:lpstr>    </vt:lpstr>
      <vt:lpstr>    The electricity market</vt:lpstr>
      <vt:lpstr>    </vt:lpstr>
      <vt:lpstr>    Energy affordability</vt:lpstr>
      <vt:lpstr>    Citizens Engagement </vt:lpstr>
      <vt:lpstr>    Nuclear energy and nuclear-related matters</vt:lpstr>
      <vt:lpstr>TRANSPORT</vt:lpstr>
      <vt:lpstr>    Transport and the Green Deal</vt:lpstr>
      <vt:lpstr>    Aviation</vt:lpstr>
      <vt:lpstr>    In the aviation sector, the Commission plans to carry out a comprehensive aviati</vt:lpstr>
      <vt:lpstr>    Maritime transport</vt:lpstr>
      <vt:lpstr>    Dual use of TEN-T corridors</vt:lpstr>
      <vt:lpstr>    The ITF summit</vt:lpstr>
      <vt:lpstr>    Other activities</vt:lpstr>
      <vt:lpstr>PERMANENT GROUP ON SERVICES OF GENERAL INTEREST (PG-SGI)</vt:lpstr>
      <vt:lpstr>    Housing</vt:lpstr>
      <vt:lpstr>SPACE</vt:lpstr>
      <vt:lpstr>INFORMATION SOCIETY </vt:lpstr>
      <vt:lpstr>    Digital networks</vt:lpstr>
      <vt:lpstr>    The radio spectrum</vt:lpstr>
      <vt:lpstr>    Universal access to telecommunications</vt:lpstr>
      <vt:lpstr>CROSS-CUTTING ISSUES</vt:lpstr>
      <vt:lpstr>    Labour and skills shortages</vt:lpstr>
      <vt:lpstr>    Gender</vt:lpstr>
      <vt:lpstr>    Youth</vt:lpstr>
      <vt:lpstr>COMMUINICATION PRIORITIES</vt:lpstr>
      <vt:lpstr>Revised Draft TEN Section Work Programme for 2023</vt:lpstr>
    </vt:vector>
  </TitlesOfParts>
  <Company>CESE-CdR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 2025 work programme</dc:title>
  <dc:subject>Consultative work, various</dc:subject>
  <dc:creator>Bazsik Agota</dc:creator>
  <cp:keywords>EESC-2025-00848-00-00-TCD-TRA-EN</cp:keywords>
  <dc:description>Rapporteur: -  Original language: - EN Date of document: - 05/03/2025 Date of meeting: -  External documents: -  Administrator responsible: - Mme PORRES DE MATEO Beatriz</dc:description>
  <cp:lastModifiedBy>Bogdi Maria</cp:lastModifiedBy>
  <cp:revision>2</cp:revision>
  <cp:lastPrinted>2025-01-30T07:20:00Z</cp:lastPrinted>
  <dcterms:created xsi:type="dcterms:W3CDTF">2025-03-17T07:21:00Z</dcterms:created>
  <dcterms:modified xsi:type="dcterms:W3CDTF">2025-03-17T07:21:00Z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05/03/2025, 29/02/2024, 22/12/2023, 08/12/2023, 28/11/2023, 13/02/2023, 18/11/2022, 15/11/2022</vt:lpwstr>
  </property>
  <property fmtid="{D5CDD505-2E9C-101B-9397-08002B2CF9AE}" pid="4" name="Pref_Time">
    <vt:lpwstr>16:30:56, 16:04:03, 13:59:53, 08:44:55, 17:14:16, 15:23:00, 17:35:27, 10:51:14</vt:lpwstr>
  </property>
  <property fmtid="{D5CDD505-2E9C-101B-9397-08002B2CF9AE}" pid="5" name="Pref_User">
    <vt:lpwstr>amett, pacup, pacup, pacup, amett, pacup, jhvi, jhvi</vt:lpwstr>
  </property>
  <property fmtid="{D5CDD505-2E9C-101B-9397-08002B2CF9AE}" pid="6" name="Pref_FileName">
    <vt:lpwstr>EESC-2025-00848-00-00-TCD-TRA-EN-CRR.docx, EESC-2023-05157-00-03-TCD-TRA.docx, EESC-2023-05157-00-02-TCD-TRA.docx, EESC-2023-05157-00-01-TCD-TRA.docx, EESC-2023-05157-00-00-TCD-TRA-EN-CRR.docx, EESC-2022-05541-00-02-TCD-TRA-EN-CRR.docx, EESC-2022-05541-00</vt:lpwstr>
  </property>
  <property fmtid="{D5CDD505-2E9C-101B-9397-08002B2CF9AE}" pid="7" name="ContentTypeId">
    <vt:lpwstr>0x010100EA97B91038054C99906057A708A1480A006BB3B767F3CF4149BF520211D4A86BC0</vt:lpwstr>
  </property>
  <property fmtid="{D5CDD505-2E9C-101B-9397-08002B2CF9AE}" pid="8" name="_dlc_DocIdItemGuid">
    <vt:lpwstr>e34187d9-c2b0-48f3-a885-ee4ae4ce2a77</vt:lpwstr>
  </property>
  <property fmtid="{D5CDD505-2E9C-101B-9397-08002B2CF9AE}" pid="9" name="AvailableTranslations">
    <vt:lpwstr>23;#DE|f6b31e5a-26fa-4935-b661-318e46daf27e;#12;#FR|d2afafd3-4c81-4f60-8f52-ee33f2f54ff3;#5;#EN|f2175f21-25d7-44a3-96da-d6a61b075e1b;#39;#LV|46f7e311-5d9f-4663-b433-18aeccb7ace7</vt:lpwstr>
  </property>
  <property fmtid="{D5CDD505-2E9C-101B-9397-08002B2CF9AE}" pid="10" name="DocumentType_0">
    <vt:lpwstr>TCD|cd9d6eb6-3f4f-424a-b2d1-57c9d450eaaf</vt:lpwstr>
  </property>
  <property fmtid="{D5CDD505-2E9C-101B-9397-08002B2CF9AE}" pid="11" name="DossierName_0">
    <vt:lpwstr/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848</vt:i4>
  </property>
  <property fmtid="{D5CDD505-2E9C-101B-9397-08002B2CF9AE}" pid="14" name="FicheYear">
    <vt:i4>2025</vt:i4>
  </property>
  <property fmtid="{D5CDD505-2E9C-101B-9397-08002B2CF9AE}" pid="15" name="DocumentVersion">
    <vt:i4>0</vt:i4>
  </property>
  <property fmtid="{D5CDD505-2E9C-101B-9397-08002B2CF9AE}" pid="16" name="DocumentStatus">
    <vt:lpwstr>13;#TRA|150d2a88-1431-44e6-a8ca-0bb753ab8672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1;#EESC|422833ec-8d7e-4e65-8e4e-8bed07ffb729</vt:lpwstr>
  </property>
  <property fmtid="{D5CDD505-2E9C-101B-9397-08002B2CF9AE}" pid="20" name="DocumentType">
    <vt:lpwstr>19;#TCD|cd9d6eb6-3f4f-424a-b2d1-57c9d450eaaf</vt:lpwstr>
  </property>
  <property fmtid="{D5CDD505-2E9C-101B-9397-08002B2CF9AE}" pid="21" name="RequestingService">
    <vt:lpwstr>Transports, énergie, infrastructures et société de l'information</vt:lpwstr>
  </property>
  <property fmtid="{D5CDD505-2E9C-101B-9397-08002B2CF9AE}" pid="22" name="Confidentiality">
    <vt:lpwstr>15;#Unrestricted|826e22d7-d029-4ec0-a450-0c28ff673572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5;#EN|f2175f21-25d7-44a3-96da-d6a61b075e1b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/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15;#Unrestricted|826e22d7-d029-4ec0-a450-0c28ff673572;#13;#TRA|150d2a88-1431-44e6-a8ca-0bb753ab8672;#8;#Final|ea5e6674-7b27-4bac-b091-73adbb394efe;#5;#EN|f2175f21-25d7-44a3-96da-d6a61b075e1b;#19;#TCD|cd9d6eb6-3f4f-424a-b2d1-57c9d450eaaf;#1;#EESC|422833ec-8d7e-4e65-8e4e-8bed07ffb729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2025</vt:i4>
  </property>
  <property fmtid="{D5CDD505-2E9C-101B-9397-08002B2CF9AE}" pid="34" name="FicheNumber">
    <vt:i4>2269</vt:i4>
  </property>
  <property fmtid="{D5CDD505-2E9C-101B-9397-08002B2CF9AE}" pid="35" name="DocumentLanguage">
    <vt:lpwstr>5;#EN|f2175f21-25d7-44a3-96da-d6a61b075e1b</vt:lpwstr>
  </property>
  <property fmtid="{D5CDD505-2E9C-101B-9397-08002B2CF9AE}" pid="36" name="_docset_NoMedatataSyncRequired">
    <vt:lpwstr>False</vt:lpwstr>
  </property>
</Properties>
</file>