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C0" w:rsidP="00BE1F8F" w:rsidRDefault="004D7AC0" w14:paraId="4982DD4D" w14:textId="0FB91CEE">
      <w:pPr>
        <w:jc w:val="center"/>
      </w:pPr>
      <w:bookmarkStart w:name="_GoBack" w:id="0"/>
      <w:bookmarkEnd w:id="0"/>
      <w:r w:rsidRPr="0011681E">
        <w:rPr>
          <w:noProof/>
        </w:rPr>
        <w:drawing>
          <wp:inline distT="0" distB="0" distL="0" distR="0" wp14:anchorId="4982DE46" wp14:editId="4982DE47">
            <wp:extent cx="1792605" cy="1239520"/>
            <wp:effectExtent l="0" t="0" r="0" b="0"/>
            <wp:docPr id="2" name="Picture 2" title="EESCLogo_E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Pr="0018354A" w:rsidR="0018354A">
        <w:rPr>
          <w:rFonts w:ascii="Arial" w:hAnsi="Arial" w:cs="Arial"/>
          <w:b/>
          <w:bCs/>
          <w:noProof/>
          <w:sz w:val="20"/>
        </w:rPr>
        <mc:AlternateContent>
          <mc:Choice Requires="wps">
            <w:drawing>
              <wp:anchor distT="0" distB="0" distL="114300" distR="114300" simplePos="0" relativeHeight="251659264" behindDoc="1" locked="0" layoutInCell="0" allowOverlap="1" wp14:editId="0F852E82" wp14:anchorId="4B978990">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8354A" w:rsidRDefault="0018354A" w14:paraId="40261324"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978990">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8354A" w:rsidRDefault="0018354A" w14:paraId="40261324"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004D7AC0" w:rsidP="00BE1F8F" w:rsidRDefault="004D7AC0" w14:paraId="4982DD4E" w14:textId="77777777"/>
    <w:p w:rsidR="004D7AC0" w:rsidP="00BE1F8F" w:rsidRDefault="004D7AC0" w14:paraId="4982DD4F" w14:textId="72837B30">
      <w:pPr>
        <w:jc w:val="right"/>
      </w:pPr>
      <w:r>
        <w:t xml:space="preserve">Brussels, </w:t>
      </w:r>
      <w:r w:rsidR="00BA71AC">
        <w:t>1</w:t>
      </w:r>
      <w:r w:rsidR="00BE1F8F">
        <w:t>4</w:t>
      </w:r>
      <w:r w:rsidR="00726351">
        <w:t xml:space="preserve"> </w:t>
      </w:r>
      <w:r w:rsidR="00077D3D">
        <w:t xml:space="preserve">March </w:t>
      </w:r>
      <w:r w:rsidR="006C6ECE">
        <w:t>2025</w:t>
      </w:r>
    </w:p>
    <w:p w:rsidR="004D7AC0" w:rsidP="00BE1F8F" w:rsidRDefault="004D7AC0" w14:paraId="4982DD50" w14:textId="77777777"/>
    <w:p w:rsidR="004D7AC0" w:rsidP="00BE1F8F" w:rsidRDefault="004D7AC0" w14:paraId="4982DD51" w14:textId="77777777"/>
    <w:p w:rsidR="004D7AC0" w:rsidP="00BE1F8F" w:rsidRDefault="004D7AC0" w14:paraId="4982DD52" w14:textId="77777777"/>
    <w:tbl>
      <w:tblPr>
        <w:tblW w:w="0" w:type="auto"/>
        <w:tblLook w:val="04A0" w:firstRow="1" w:lastRow="0" w:firstColumn="1" w:lastColumn="0" w:noHBand="0" w:noVBand="1"/>
      </w:tblPr>
      <w:tblGrid>
        <w:gridCol w:w="9289"/>
      </w:tblGrid>
      <w:tr w:rsidR="004D7AC0" w:rsidTr="00600C84" w14:paraId="4982DD59" w14:textId="77777777">
        <w:tc>
          <w:tcPr>
            <w:tcW w:w="9289" w:type="dxa"/>
            <w:tcBorders>
              <w:bottom w:val="double" w:color="auto" w:sz="4" w:space="0"/>
            </w:tcBorders>
          </w:tcPr>
          <w:p w:rsidR="003066BE" w:rsidP="00BE1F8F" w:rsidRDefault="006C6ECE" w14:paraId="4982DD53" w14:textId="527E0554">
            <w:pPr>
              <w:snapToGrid w:val="0"/>
              <w:jc w:val="center"/>
              <w:rPr>
                <w:b/>
                <w:sz w:val="32"/>
                <w:szCs w:val="32"/>
              </w:rPr>
            </w:pPr>
            <w:r>
              <w:rPr>
                <w:b/>
                <w:sz w:val="32"/>
                <w:szCs w:val="32"/>
              </w:rPr>
              <w:t>59</w:t>
            </w:r>
            <w:r w:rsidR="00077D3D">
              <w:rPr>
                <w:b/>
                <w:sz w:val="32"/>
                <w:szCs w:val="32"/>
              </w:rPr>
              <w:t>4th</w:t>
            </w:r>
            <w:r w:rsidRPr="0081153B" w:rsidR="004D7AC0">
              <w:rPr>
                <w:b/>
                <w:sz w:val="32"/>
                <w:szCs w:val="32"/>
              </w:rPr>
              <w:t xml:space="preserve"> PLENARY SESSION</w:t>
            </w:r>
          </w:p>
          <w:p w:rsidR="003066BE" w:rsidP="00BE1F8F" w:rsidRDefault="003066BE" w14:paraId="4982DD54" w14:textId="77777777">
            <w:pPr>
              <w:snapToGrid w:val="0"/>
              <w:jc w:val="center"/>
              <w:rPr>
                <w:b/>
                <w:sz w:val="32"/>
                <w:szCs w:val="32"/>
              </w:rPr>
            </w:pPr>
          </w:p>
          <w:p w:rsidR="003066BE" w:rsidP="00BE1F8F" w:rsidRDefault="00850929" w14:paraId="4982DD55" w14:textId="094CA4B9">
            <w:pPr>
              <w:snapToGrid w:val="0"/>
              <w:jc w:val="center"/>
              <w:rPr>
                <w:b/>
                <w:sz w:val="32"/>
                <w:szCs w:val="32"/>
              </w:rPr>
            </w:pPr>
            <w:r>
              <w:rPr>
                <w:b/>
                <w:sz w:val="32"/>
                <w:szCs w:val="32"/>
              </w:rPr>
              <w:t>2</w:t>
            </w:r>
            <w:r w:rsidR="00077D3D">
              <w:rPr>
                <w:b/>
                <w:sz w:val="32"/>
                <w:szCs w:val="32"/>
              </w:rPr>
              <w:t>6</w:t>
            </w:r>
            <w:r>
              <w:rPr>
                <w:b/>
                <w:sz w:val="32"/>
                <w:szCs w:val="32"/>
              </w:rPr>
              <w:t xml:space="preserve"> and 2</w:t>
            </w:r>
            <w:r w:rsidR="00077D3D">
              <w:rPr>
                <w:b/>
                <w:sz w:val="32"/>
                <w:szCs w:val="32"/>
              </w:rPr>
              <w:t>7</w:t>
            </w:r>
            <w:r>
              <w:rPr>
                <w:b/>
                <w:sz w:val="32"/>
                <w:szCs w:val="32"/>
              </w:rPr>
              <w:t xml:space="preserve"> </w:t>
            </w:r>
            <w:r w:rsidR="00077D3D">
              <w:rPr>
                <w:b/>
                <w:sz w:val="32"/>
                <w:szCs w:val="32"/>
              </w:rPr>
              <w:t>February</w:t>
            </w:r>
            <w:r>
              <w:rPr>
                <w:b/>
                <w:sz w:val="32"/>
                <w:szCs w:val="32"/>
              </w:rPr>
              <w:t xml:space="preserve"> 2025</w:t>
            </w:r>
          </w:p>
          <w:p w:rsidR="003066BE" w:rsidP="00BE1F8F" w:rsidRDefault="003066BE" w14:paraId="4982DD56" w14:textId="77777777">
            <w:pPr>
              <w:snapToGrid w:val="0"/>
              <w:jc w:val="center"/>
              <w:rPr>
                <w:b/>
                <w:sz w:val="32"/>
                <w:szCs w:val="32"/>
              </w:rPr>
            </w:pPr>
          </w:p>
          <w:p w:rsidRPr="0081153B" w:rsidR="004D7AC0" w:rsidP="00BE1F8F" w:rsidRDefault="00754027" w14:paraId="4982DD57" w14:textId="5A35E792">
            <w:pPr>
              <w:snapToGrid w:val="0"/>
              <w:jc w:val="center"/>
              <w:rPr>
                <w:rFonts w:eastAsia="MS Mincho"/>
                <w:b/>
                <w:sz w:val="32"/>
                <w:szCs w:val="32"/>
              </w:rPr>
            </w:pPr>
            <w:r w:rsidRPr="005463FF">
              <w:rPr>
                <w:b/>
                <w:sz w:val="32"/>
              </w:rPr>
              <w:t>SUMMARY OF ADOPTED OPINIONS, RESOLUTIONS AND INFORMATION / EVALUATION REPORTS</w:t>
            </w:r>
          </w:p>
          <w:p w:rsidR="004D7AC0" w:rsidP="00BE1F8F" w:rsidRDefault="004D7AC0" w14:paraId="4982DD58" w14:textId="77777777">
            <w:pPr>
              <w:snapToGrid w:val="0"/>
            </w:pPr>
          </w:p>
        </w:tc>
      </w:tr>
      <w:tr w:rsidR="004D7AC0" w:rsidTr="00600C84" w14:paraId="4982DD5F" w14:textId="77777777">
        <w:tc>
          <w:tcPr>
            <w:tcW w:w="9289" w:type="dxa"/>
            <w:tcBorders>
              <w:top w:val="double" w:color="auto" w:sz="4" w:space="0"/>
              <w:left w:val="double" w:color="auto" w:sz="4" w:space="0"/>
              <w:bottom w:val="double" w:color="auto" w:sz="4" w:space="0"/>
              <w:right w:val="double" w:color="auto" w:sz="4" w:space="0"/>
            </w:tcBorders>
          </w:tcPr>
          <w:p w:rsidR="00726351" w:rsidP="00BE1F8F" w:rsidRDefault="004D7AC0" w14:paraId="05F5C867" w14:textId="77777777">
            <w:pPr>
              <w:snapToGrid w:val="0"/>
              <w:jc w:val="center"/>
            </w:pPr>
            <w:r w:rsidRPr="0081153B">
              <w:t xml:space="preserve">This document is available in </w:t>
            </w:r>
            <w:r w:rsidR="00845F24">
              <w:t xml:space="preserve">all </w:t>
            </w:r>
            <w:r w:rsidRPr="0081153B">
              <w:t xml:space="preserve">the official languages </w:t>
            </w:r>
            <w:r w:rsidR="00845F24">
              <w:t>of the European Union</w:t>
            </w:r>
            <w:r w:rsidR="00845F24">
              <w:br/>
            </w:r>
            <w:r w:rsidRPr="0081153B">
              <w:t>on the EESC website at</w:t>
            </w:r>
            <w:r w:rsidR="00D92269">
              <w:t>:</w:t>
            </w:r>
          </w:p>
          <w:p w:rsidR="00726351" w:rsidP="00BE1F8F" w:rsidRDefault="00726351" w14:paraId="65F2BC50" w14:textId="77777777">
            <w:pPr>
              <w:snapToGrid w:val="0"/>
              <w:jc w:val="center"/>
            </w:pPr>
          </w:p>
          <w:p w:rsidRPr="0081153B" w:rsidR="004D7AC0" w:rsidP="00BE1F8F" w:rsidRDefault="002C4029" w14:paraId="4982DD5A" w14:textId="4DF10D40">
            <w:pPr>
              <w:snapToGrid w:val="0"/>
              <w:jc w:val="center"/>
            </w:pPr>
            <w:hyperlink w:history="1" r:id="rId13">
              <w:r w:rsidRPr="006D2D64" w:rsidR="004D7AC0">
                <w:rPr>
                  <w:rStyle w:val="Hyperlink"/>
                </w:rPr>
                <w:t>https://www.eesc.europa.eu/en/our-work/opinions-information-reports/plenary-session-summaries</w:t>
              </w:r>
            </w:hyperlink>
          </w:p>
          <w:p w:rsidRPr="0081153B" w:rsidR="004D7AC0" w:rsidP="00BE1F8F" w:rsidRDefault="004D7AC0" w14:paraId="4982DD5B" w14:textId="77777777">
            <w:pPr>
              <w:snapToGrid w:val="0"/>
              <w:jc w:val="center"/>
            </w:pPr>
          </w:p>
          <w:p w:rsidRPr="0081153B" w:rsidR="004D7AC0" w:rsidP="00BE1F8F" w:rsidRDefault="004D7AC0" w14:paraId="4982DD5C" w14:textId="77777777">
            <w:pPr>
              <w:snapToGrid w:val="0"/>
              <w:jc w:val="center"/>
              <w:rPr>
                <w:rFonts w:eastAsia="SimSun"/>
              </w:rPr>
            </w:pPr>
          </w:p>
          <w:p w:rsidR="00726351" w:rsidP="00BE1F8F" w:rsidRDefault="004D7AC0" w14:paraId="64A40D96" w14:textId="77777777">
            <w:pPr>
              <w:snapToGrid w:val="0"/>
              <w:jc w:val="center"/>
            </w:pPr>
            <w:r w:rsidRPr="0081153B">
              <w:t>The opinions listed can be consulted online using the EESC search engine:</w:t>
            </w:r>
          </w:p>
          <w:p w:rsidR="00726351" w:rsidP="00BE1F8F" w:rsidRDefault="00726351" w14:paraId="0E196128" w14:textId="77777777">
            <w:pPr>
              <w:snapToGrid w:val="0"/>
              <w:jc w:val="center"/>
            </w:pPr>
          </w:p>
          <w:p w:rsidRPr="00044561" w:rsidR="004D7AC0" w:rsidP="00BE1F8F" w:rsidRDefault="002C4029" w14:paraId="4982DD5D" w14:textId="339632B5">
            <w:pPr>
              <w:snapToGrid w:val="0"/>
              <w:jc w:val="center"/>
            </w:pPr>
            <w:hyperlink w:history="1" r:id="rId14">
              <w:r w:rsidRPr="0081153B" w:rsidR="004D7AC0">
                <w:rPr>
                  <w:rStyle w:val="Hyperlink"/>
                </w:rPr>
                <w:t>https://dmsearch.eesc.europa.eu/search/opinion</w:t>
              </w:r>
            </w:hyperlink>
          </w:p>
          <w:p w:rsidRPr="00044561" w:rsidR="004D7AC0" w:rsidP="00BE1F8F" w:rsidRDefault="004D7AC0" w14:paraId="4982DD5E" w14:textId="77777777">
            <w:pPr>
              <w:snapToGrid w:val="0"/>
              <w:jc w:val="center"/>
            </w:pPr>
          </w:p>
        </w:tc>
      </w:tr>
    </w:tbl>
    <w:p w:rsidR="004D7AC0" w:rsidP="00BE1F8F" w:rsidRDefault="004D7AC0" w14:paraId="4982DD60" w14:textId="77777777"/>
    <w:p w:rsidR="004D7AC0" w:rsidP="00BE1F8F" w:rsidRDefault="004D7AC0" w14:paraId="4982DD61" w14:textId="77777777"/>
    <w:p w:rsidR="004D7AC0" w:rsidP="00BE1F8F" w:rsidRDefault="004D7AC0" w14:paraId="4982DD62" w14:textId="77777777">
      <w:pPr>
        <w:sectPr w:rsidR="004D7AC0" w:rsidSect="00BE1F8F">
          <w:headerReference w:type="even" r:id="rId15"/>
          <w:headerReference w:type="default" r:id="rId16"/>
          <w:footerReference w:type="even" r:id="rId17"/>
          <w:footerReference w:type="default" r:id="rId18"/>
          <w:headerReference w:type="first" r:id="rId19"/>
          <w:footerReference w:type="first" r:id="rId20"/>
          <w:pgSz w:w="11907" w:h="16839"/>
          <w:pgMar w:top="1417" w:right="1417" w:bottom="1417" w:left="1417" w:header="709" w:footer="709" w:gutter="0"/>
          <w:pgNumType w:start="1"/>
          <w:cols w:space="708"/>
          <w:docGrid w:linePitch="360"/>
        </w:sectPr>
      </w:pPr>
    </w:p>
    <w:p w:rsidRPr="00A81AFE" w:rsidR="004D7AC0" w:rsidP="00BE1F8F" w:rsidRDefault="004D7AC0" w14:paraId="4982DD63" w14:textId="77777777">
      <w:pPr>
        <w:rPr>
          <w:b/>
        </w:rPr>
      </w:pPr>
      <w:r w:rsidRPr="00A81AFE">
        <w:rPr>
          <w:b/>
        </w:rPr>
        <w:lastRenderedPageBreak/>
        <w:t>Contents:</w:t>
      </w:r>
    </w:p>
    <w:sdt>
      <w:sdtPr>
        <w:rPr>
          <w:rFonts w:ascii="Times New Roman" w:hAnsi="Times New Roman" w:eastAsia="Times New Roman" w:cs="Times New Roman"/>
          <w:color w:val="auto"/>
          <w:sz w:val="22"/>
          <w:szCs w:val="22"/>
        </w:rPr>
        <w:id w:val="-17007477"/>
        <w:docPartObj>
          <w:docPartGallery w:val="Table of Contents"/>
          <w:docPartUnique/>
        </w:docPartObj>
      </w:sdtPr>
      <w:sdtEndPr>
        <w:rPr>
          <w:b/>
          <w:bCs/>
          <w:noProof/>
        </w:rPr>
      </w:sdtEndPr>
      <w:sdtContent>
        <w:p w:rsidRPr="00A81AFE" w:rsidR="004D7AC0" w:rsidP="00BE1F8F" w:rsidRDefault="004D7AC0" w14:paraId="4982DD64" w14:textId="77777777">
          <w:pPr>
            <w:pStyle w:val="TOCHeading"/>
            <w:spacing w:before="0" w:line="288" w:lineRule="auto"/>
            <w:rPr>
              <w:rFonts w:ascii="Times New Roman" w:hAnsi="Times New Roman" w:cs="Times New Roman"/>
              <w:color w:val="auto"/>
              <w:sz w:val="22"/>
              <w:szCs w:val="22"/>
            </w:rPr>
          </w:pPr>
        </w:p>
        <w:p w:rsidR="00C77862" w:rsidRDefault="004D7AC0" w14:paraId="3ED9BE25" w14:textId="4C130861">
          <w:pPr>
            <w:pStyle w:val="TOC1"/>
            <w:tabs>
              <w:tab w:val="left" w:pos="440"/>
              <w:tab w:val="right" w:leader="dot" w:pos="9061"/>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192668666">
            <w:r w:rsidRPr="001E0E6F" w:rsidR="00C77862">
              <w:rPr>
                <w:rStyle w:val="Hyperlink"/>
                <w:bCs/>
                <w:noProof/>
              </w:rPr>
              <w:t>1.</w:t>
            </w:r>
            <w:r w:rsidR="00C77862">
              <w:rPr>
                <w:rFonts w:asciiTheme="minorHAnsi" w:hAnsiTheme="minorHAnsi" w:eastAsiaTheme="minorEastAsia" w:cstheme="minorBidi"/>
                <w:noProof/>
              </w:rPr>
              <w:tab/>
            </w:r>
            <w:r w:rsidRPr="001E0E6F" w:rsidR="00C77862">
              <w:rPr>
                <w:rStyle w:val="Hyperlink"/>
                <w:b/>
                <w:noProof/>
              </w:rPr>
              <w:t>ECONOMIC AND MONETARY UNION, ECONOMIC AND SOCIAL COHESION</w:t>
            </w:r>
            <w:r w:rsidR="00C77862">
              <w:rPr>
                <w:noProof/>
                <w:webHidden/>
              </w:rPr>
              <w:tab/>
            </w:r>
            <w:r w:rsidR="00C77862">
              <w:rPr>
                <w:noProof/>
                <w:webHidden/>
              </w:rPr>
              <w:fldChar w:fldCharType="begin"/>
            </w:r>
            <w:r w:rsidR="00C77862">
              <w:rPr>
                <w:noProof/>
                <w:webHidden/>
              </w:rPr>
              <w:instrText xml:space="preserve"> PAGEREF _Toc192668666 \h </w:instrText>
            </w:r>
            <w:r w:rsidR="00C77862">
              <w:rPr>
                <w:noProof/>
                <w:webHidden/>
              </w:rPr>
            </w:r>
            <w:r w:rsidR="00C77862">
              <w:rPr>
                <w:noProof/>
                <w:webHidden/>
              </w:rPr>
              <w:fldChar w:fldCharType="separate"/>
            </w:r>
            <w:r w:rsidR="00592F07">
              <w:rPr>
                <w:noProof/>
                <w:webHidden/>
              </w:rPr>
              <w:t>3</w:t>
            </w:r>
            <w:r w:rsidR="00C77862">
              <w:rPr>
                <w:noProof/>
                <w:webHidden/>
              </w:rPr>
              <w:fldChar w:fldCharType="end"/>
            </w:r>
          </w:hyperlink>
        </w:p>
        <w:p w:rsidR="00C77862" w:rsidRDefault="002C4029" w14:paraId="4260752C" w14:textId="597D412E">
          <w:pPr>
            <w:pStyle w:val="TOC1"/>
            <w:tabs>
              <w:tab w:val="left" w:pos="440"/>
              <w:tab w:val="right" w:leader="dot" w:pos="9061"/>
            </w:tabs>
            <w:rPr>
              <w:rFonts w:asciiTheme="minorHAnsi" w:hAnsiTheme="minorHAnsi" w:eastAsiaTheme="minorEastAsia" w:cstheme="minorBidi"/>
              <w:noProof/>
            </w:rPr>
          </w:pPr>
          <w:hyperlink w:history="1" w:anchor="_Toc192668667">
            <w:r w:rsidRPr="001E0E6F" w:rsidR="00C77862">
              <w:rPr>
                <w:rStyle w:val="Hyperlink"/>
                <w:bCs/>
                <w:noProof/>
              </w:rPr>
              <w:t>2.</w:t>
            </w:r>
            <w:r w:rsidR="00C77862">
              <w:rPr>
                <w:rFonts w:asciiTheme="minorHAnsi" w:hAnsiTheme="minorHAnsi" w:eastAsiaTheme="minorEastAsia" w:cstheme="minorBidi"/>
                <w:noProof/>
              </w:rPr>
              <w:tab/>
            </w:r>
            <w:r w:rsidRPr="001E0E6F" w:rsidR="00C77862">
              <w:rPr>
                <w:rStyle w:val="Hyperlink"/>
                <w:b/>
                <w:noProof/>
              </w:rPr>
              <w:t>EMPLOYMENT, SOCIAL AFFAIRS AND CITIZENSHIP</w:t>
            </w:r>
            <w:r w:rsidR="00C77862">
              <w:rPr>
                <w:noProof/>
                <w:webHidden/>
              </w:rPr>
              <w:tab/>
            </w:r>
            <w:r w:rsidR="00C77862">
              <w:rPr>
                <w:noProof/>
                <w:webHidden/>
              </w:rPr>
              <w:fldChar w:fldCharType="begin"/>
            </w:r>
            <w:r w:rsidR="00C77862">
              <w:rPr>
                <w:noProof/>
                <w:webHidden/>
              </w:rPr>
              <w:instrText xml:space="preserve"> PAGEREF _Toc192668667 \h </w:instrText>
            </w:r>
            <w:r w:rsidR="00C77862">
              <w:rPr>
                <w:noProof/>
                <w:webHidden/>
              </w:rPr>
            </w:r>
            <w:r w:rsidR="00C77862">
              <w:rPr>
                <w:noProof/>
                <w:webHidden/>
              </w:rPr>
              <w:fldChar w:fldCharType="separate"/>
            </w:r>
            <w:r w:rsidR="00592F07">
              <w:rPr>
                <w:noProof/>
                <w:webHidden/>
              </w:rPr>
              <w:t>10</w:t>
            </w:r>
            <w:r w:rsidR="00C77862">
              <w:rPr>
                <w:noProof/>
                <w:webHidden/>
              </w:rPr>
              <w:fldChar w:fldCharType="end"/>
            </w:r>
          </w:hyperlink>
        </w:p>
        <w:p w:rsidR="00C77862" w:rsidRDefault="002C4029" w14:paraId="097BE9C3" w14:textId="2979CE83">
          <w:pPr>
            <w:pStyle w:val="TOC1"/>
            <w:tabs>
              <w:tab w:val="left" w:pos="440"/>
              <w:tab w:val="right" w:leader="dot" w:pos="9061"/>
            </w:tabs>
            <w:rPr>
              <w:rFonts w:asciiTheme="minorHAnsi" w:hAnsiTheme="minorHAnsi" w:eastAsiaTheme="minorEastAsia" w:cstheme="minorBidi"/>
              <w:noProof/>
            </w:rPr>
          </w:pPr>
          <w:hyperlink w:history="1" w:anchor="_Toc192668668">
            <w:r w:rsidRPr="001E0E6F" w:rsidR="00C77862">
              <w:rPr>
                <w:rStyle w:val="Hyperlink"/>
                <w:bCs/>
                <w:noProof/>
              </w:rPr>
              <w:t>3.</w:t>
            </w:r>
            <w:r w:rsidR="00C77862">
              <w:rPr>
                <w:rFonts w:asciiTheme="minorHAnsi" w:hAnsiTheme="minorHAnsi" w:eastAsiaTheme="minorEastAsia" w:cstheme="minorBidi"/>
                <w:noProof/>
              </w:rPr>
              <w:tab/>
            </w:r>
            <w:r w:rsidRPr="001E0E6F" w:rsidR="00C77862">
              <w:rPr>
                <w:rStyle w:val="Hyperlink"/>
                <w:b/>
                <w:noProof/>
              </w:rPr>
              <w:t>TRANSPORT, ENERGY, INFRASTRUCTURE AND INFORMATION SOCIETY</w:t>
            </w:r>
            <w:r w:rsidR="00C77862">
              <w:rPr>
                <w:noProof/>
                <w:webHidden/>
              </w:rPr>
              <w:tab/>
            </w:r>
            <w:r w:rsidR="00C77862">
              <w:rPr>
                <w:noProof/>
                <w:webHidden/>
              </w:rPr>
              <w:fldChar w:fldCharType="begin"/>
            </w:r>
            <w:r w:rsidR="00C77862">
              <w:rPr>
                <w:noProof/>
                <w:webHidden/>
              </w:rPr>
              <w:instrText xml:space="preserve"> PAGEREF _Toc192668668 \h </w:instrText>
            </w:r>
            <w:r w:rsidR="00C77862">
              <w:rPr>
                <w:noProof/>
                <w:webHidden/>
              </w:rPr>
            </w:r>
            <w:r w:rsidR="00C77862">
              <w:rPr>
                <w:noProof/>
                <w:webHidden/>
              </w:rPr>
              <w:fldChar w:fldCharType="separate"/>
            </w:r>
            <w:r w:rsidR="00592F07">
              <w:rPr>
                <w:noProof/>
                <w:webHidden/>
              </w:rPr>
              <w:t>15</w:t>
            </w:r>
            <w:r w:rsidR="00C77862">
              <w:rPr>
                <w:noProof/>
                <w:webHidden/>
              </w:rPr>
              <w:fldChar w:fldCharType="end"/>
            </w:r>
          </w:hyperlink>
        </w:p>
        <w:p w:rsidR="00C77862" w:rsidRDefault="002C4029" w14:paraId="71C389F8" w14:textId="32BD67CD">
          <w:pPr>
            <w:pStyle w:val="TOC1"/>
            <w:tabs>
              <w:tab w:val="left" w:pos="440"/>
              <w:tab w:val="right" w:leader="dot" w:pos="9061"/>
            </w:tabs>
            <w:rPr>
              <w:rFonts w:asciiTheme="minorHAnsi" w:hAnsiTheme="minorHAnsi" w:eastAsiaTheme="minorEastAsia" w:cstheme="minorBidi"/>
              <w:noProof/>
            </w:rPr>
          </w:pPr>
          <w:hyperlink w:history="1" w:anchor="_Toc192668669">
            <w:r w:rsidRPr="001E0E6F" w:rsidR="00C77862">
              <w:rPr>
                <w:rStyle w:val="Hyperlink"/>
                <w:bCs/>
                <w:noProof/>
              </w:rPr>
              <w:t>4.</w:t>
            </w:r>
            <w:r w:rsidR="00C77862">
              <w:rPr>
                <w:rFonts w:asciiTheme="minorHAnsi" w:hAnsiTheme="minorHAnsi" w:eastAsiaTheme="minorEastAsia" w:cstheme="minorBidi"/>
                <w:noProof/>
              </w:rPr>
              <w:tab/>
            </w:r>
            <w:r w:rsidRPr="001E0E6F" w:rsidR="00C77862">
              <w:rPr>
                <w:rStyle w:val="Hyperlink"/>
                <w:b/>
                <w:noProof/>
              </w:rPr>
              <w:t>SINGLE MARKET, PRODUCTION AND CONSUMPTION</w:t>
            </w:r>
            <w:r w:rsidR="00C77862">
              <w:rPr>
                <w:noProof/>
                <w:webHidden/>
              </w:rPr>
              <w:tab/>
            </w:r>
            <w:r w:rsidR="00C77862">
              <w:rPr>
                <w:noProof/>
                <w:webHidden/>
              </w:rPr>
              <w:fldChar w:fldCharType="begin"/>
            </w:r>
            <w:r w:rsidR="00C77862">
              <w:rPr>
                <w:noProof/>
                <w:webHidden/>
              </w:rPr>
              <w:instrText xml:space="preserve"> PAGEREF _Toc192668669 \h </w:instrText>
            </w:r>
            <w:r w:rsidR="00C77862">
              <w:rPr>
                <w:noProof/>
                <w:webHidden/>
              </w:rPr>
            </w:r>
            <w:r w:rsidR="00C77862">
              <w:rPr>
                <w:noProof/>
                <w:webHidden/>
              </w:rPr>
              <w:fldChar w:fldCharType="separate"/>
            </w:r>
            <w:r w:rsidR="00592F07">
              <w:rPr>
                <w:noProof/>
                <w:webHidden/>
              </w:rPr>
              <w:t>16</w:t>
            </w:r>
            <w:r w:rsidR="00C77862">
              <w:rPr>
                <w:noProof/>
                <w:webHidden/>
              </w:rPr>
              <w:fldChar w:fldCharType="end"/>
            </w:r>
          </w:hyperlink>
        </w:p>
        <w:p w:rsidR="00C77862" w:rsidRDefault="002C4029" w14:paraId="7590EEC5" w14:textId="0EDA2156">
          <w:pPr>
            <w:pStyle w:val="TOC1"/>
            <w:tabs>
              <w:tab w:val="left" w:pos="440"/>
              <w:tab w:val="right" w:leader="dot" w:pos="9061"/>
            </w:tabs>
            <w:rPr>
              <w:rFonts w:asciiTheme="minorHAnsi" w:hAnsiTheme="minorHAnsi" w:eastAsiaTheme="minorEastAsia" w:cstheme="minorBidi"/>
              <w:noProof/>
            </w:rPr>
          </w:pPr>
          <w:hyperlink w:history="1" w:anchor="_Toc192668670">
            <w:r w:rsidRPr="001E0E6F" w:rsidR="00C77862">
              <w:rPr>
                <w:rStyle w:val="Hyperlink"/>
                <w:bCs/>
                <w:noProof/>
              </w:rPr>
              <w:t>5.</w:t>
            </w:r>
            <w:r w:rsidR="00C77862">
              <w:rPr>
                <w:rFonts w:asciiTheme="minorHAnsi" w:hAnsiTheme="minorHAnsi" w:eastAsiaTheme="minorEastAsia" w:cstheme="minorBidi"/>
                <w:noProof/>
              </w:rPr>
              <w:tab/>
            </w:r>
            <w:r w:rsidRPr="001E0E6F" w:rsidR="00C77862">
              <w:rPr>
                <w:rStyle w:val="Hyperlink"/>
                <w:b/>
                <w:noProof/>
              </w:rPr>
              <w:t>AGRICULTURE, RURAL DEVELOPMENT AND THE ENVIRONMENT</w:t>
            </w:r>
            <w:r w:rsidR="00C77862">
              <w:rPr>
                <w:noProof/>
                <w:webHidden/>
              </w:rPr>
              <w:tab/>
            </w:r>
            <w:r w:rsidR="00C77862">
              <w:rPr>
                <w:noProof/>
                <w:webHidden/>
              </w:rPr>
              <w:fldChar w:fldCharType="begin"/>
            </w:r>
            <w:r w:rsidR="00C77862">
              <w:rPr>
                <w:noProof/>
                <w:webHidden/>
              </w:rPr>
              <w:instrText xml:space="preserve"> PAGEREF _Toc192668670 \h </w:instrText>
            </w:r>
            <w:r w:rsidR="00C77862">
              <w:rPr>
                <w:noProof/>
                <w:webHidden/>
              </w:rPr>
            </w:r>
            <w:r w:rsidR="00C77862">
              <w:rPr>
                <w:noProof/>
                <w:webHidden/>
              </w:rPr>
              <w:fldChar w:fldCharType="separate"/>
            </w:r>
            <w:r w:rsidR="00592F07">
              <w:rPr>
                <w:noProof/>
                <w:webHidden/>
              </w:rPr>
              <w:t>22</w:t>
            </w:r>
            <w:r w:rsidR="00C77862">
              <w:rPr>
                <w:noProof/>
                <w:webHidden/>
              </w:rPr>
              <w:fldChar w:fldCharType="end"/>
            </w:r>
          </w:hyperlink>
        </w:p>
        <w:p w:rsidR="00C77862" w:rsidRDefault="002C4029" w14:paraId="5424E930" w14:textId="77522878">
          <w:pPr>
            <w:pStyle w:val="TOC1"/>
            <w:tabs>
              <w:tab w:val="left" w:pos="440"/>
              <w:tab w:val="right" w:leader="dot" w:pos="9061"/>
            </w:tabs>
            <w:rPr>
              <w:rFonts w:asciiTheme="minorHAnsi" w:hAnsiTheme="minorHAnsi" w:eastAsiaTheme="minorEastAsia" w:cstheme="minorBidi"/>
              <w:noProof/>
            </w:rPr>
          </w:pPr>
          <w:hyperlink w:history="1" w:anchor="_Toc192668671">
            <w:r w:rsidRPr="001E0E6F" w:rsidR="00C77862">
              <w:rPr>
                <w:rStyle w:val="Hyperlink"/>
                <w:bCs/>
                <w:noProof/>
              </w:rPr>
              <w:t>6.</w:t>
            </w:r>
            <w:r w:rsidR="00C77862">
              <w:rPr>
                <w:rFonts w:asciiTheme="minorHAnsi" w:hAnsiTheme="minorHAnsi" w:eastAsiaTheme="minorEastAsia" w:cstheme="minorBidi"/>
                <w:noProof/>
              </w:rPr>
              <w:tab/>
            </w:r>
            <w:r w:rsidRPr="001E0E6F" w:rsidR="00C77862">
              <w:rPr>
                <w:rStyle w:val="Hyperlink"/>
                <w:b/>
                <w:noProof/>
              </w:rPr>
              <w:t>CONSULTATIVE COMMISSION ON INDUSTRIAL CHANGE</w:t>
            </w:r>
            <w:r w:rsidR="00C77862">
              <w:rPr>
                <w:noProof/>
                <w:webHidden/>
              </w:rPr>
              <w:tab/>
            </w:r>
            <w:r w:rsidR="00C77862">
              <w:rPr>
                <w:noProof/>
                <w:webHidden/>
              </w:rPr>
              <w:fldChar w:fldCharType="begin"/>
            </w:r>
            <w:r w:rsidR="00C77862">
              <w:rPr>
                <w:noProof/>
                <w:webHidden/>
              </w:rPr>
              <w:instrText xml:space="preserve"> PAGEREF _Toc192668671 \h </w:instrText>
            </w:r>
            <w:r w:rsidR="00C77862">
              <w:rPr>
                <w:noProof/>
                <w:webHidden/>
              </w:rPr>
            </w:r>
            <w:r w:rsidR="00C77862">
              <w:rPr>
                <w:noProof/>
                <w:webHidden/>
              </w:rPr>
              <w:fldChar w:fldCharType="separate"/>
            </w:r>
            <w:r w:rsidR="00592F07">
              <w:rPr>
                <w:noProof/>
                <w:webHidden/>
              </w:rPr>
              <w:t>24</w:t>
            </w:r>
            <w:r w:rsidR="00C77862">
              <w:rPr>
                <w:noProof/>
                <w:webHidden/>
              </w:rPr>
              <w:fldChar w:fldCharType="end"/>
            </w:r>
          </w:hyperlink>
        </w:p>
        <w:p w:rsidR="004D7AC0" w:rsidP="00BE1F8F" w:rsidRDefault="004D7AC0" w14:paraId="4982DD6A" w14:textId="2712A663">
          <w:r>
            <w:rPr>
              <w:b/>
              <w:bCs/>
              <w:noProof/>
            </w:rPr>
            <w:fldChar w:fldCharType="end"/>
          </w:r>
        </w:p>
      </w:sdtContent>
    </w:sdt>
    <w:p w:rsidR="004D7AC0" w:rsidP="00BE1F8F" w:rsidRDefault="004D7AC0" w14:paraId="4982DD6B" w14:textId="77777777"/>
    <w:p w:rsidR="004D7AC0" w:rsidP="00BE1F8F" w:rsidRDefault="004D7AC0" w14:paraId="4982DD6C" w14:textId="77777777">
      <w:pPr>
        <w:jc w:val="left"/>
      </w:pPr>
      <w:r>
        <w:br w:type="page"/>
      </w:r>
    </w:p>
    <w:p w:rsidR="004D7AC0" w:rsidP="00BE1F8F" w:rsidRDefault="004D7AC0" w14:paraId="4982DD6D" w14:textId="77777777">
      <w:pPr>
        <w:pStyle w:val="Heading1"/>
        <w:rPr>
          <w:b/>
        </w:rPr>
      </w:pPr>
      <w:bookmarkStart w:name="_Toc192668666" w:id="1"/>
      <w:r w:rsidRPr="00803CA6">
        <w:rPr>
          <w:b/>
        </w:rPr>
        <w:t>ECONOMIC AND MONETARY UNION, ECONOMIC AND SOCIAL COHESION</w:t>
      </w:r>
      <w:bookmarkEnd w:id="1"/>
    </w:p>
    <w:p w:rsidR="004D7AC0" w:rsidP="00BE1F8F" w:rsidRDefault="004D7AC0" w14:paraId="4982DD6E" w14:textId="77777777"/>
    <w:p w:rsidRPr="00BE1F8F" w:rsidR="00BE1F8F" w:rsidP="00BE1F8F" w:rsidRDefault="002C4029" w14:paraId="1ECDFE60" w14:textId="77777777">
      <w:pPr>
        <w:widowControl w:val="0"/>
        <w:numPr>
          <w:ilvl w:val="0"/>
          <w:numId w:val="20"/>
        </w:numPr>
        <w:ind w:left="567" w:hanging="567"/>
        <w:jc w:val="left"/>
        <w:rPr>
          <w:bCs/>
          <w:iCs/>
        </w:rPr>
      </w:pPr>
      <w:hyperlink w:history="1" r:id="rId21">
        <w:r w:rsidRPr="00795836" w:rsidR="009B199C">
          <w:rPr>
            <w:b/>
            <w:bCs/>
            <w:i/>
            <w:iCs/>
            <w:color w:val="0000FF"/>
            <w:sz w:val="28"/>
            <w:szCs w:val="28"/>
            <w:u w:val="single"/>
          </w:rPr>
          <w:t>2025 European Semester – Autumn package</w:t>
        </w:r>
      </w:hyperlink>
    </w:p>
    <w:p w:rsidRPr="00795836" w:rsidR="009B199C" w:rsidP="00BE1F8F" w:rsidRDefault="009B199C" w14:paraId="475281DB" w14:textId="0688FCBB">
      <w:pPr>
        <w:widowControl w:val="0"/>
        <w:ind w:left="567"/>
        <w:jc w:val="left"/>
        <w:rPr>
          <w:bCs/>
          <w:iCs/>
        </w:rPr>
      </w:pPr>
    </w:p>
    <w:tbl>
      <w:tblPr>
        <w:tblW w:w="5000" w:type="pct"/>
        <w:tblLook w:val="04A0" w:firstRow="1" w:lastRow="0" w:firstColumn="1" w:lastColumn="0" w:noHBand="0" w:noVBand="1"/>
      </w:tblPr>
      <w:tblGrid>
        <w:gridCol w:w="1668"/>
        <w:gridCol w:w="7619"/>
      </w:tblGrid>
      <w:tr w:rsidRPr="005C4571" w:rsidR="009B199C" w:rsidTr="00BE1F8F" w14:paraId="7E2330F9" w14:textId="77777777">
        <w:trPr>
          <w:trHeight w:val="269"/>
        </w:trPr>
        <w:tc>
          <w:tcPr>
            <w:tcW w:w="898" w:type="pct"/>
          </w:tcPr>
          <w:p w:rsidRPr="005C4571" w:rsidR="009B199C" w:rsidP="00BE1F8F" w:rsidRDefault="009B199C" w14:paraId="11357475" w14:textId="5FA4627E">
            <w:pPr>
              <w:tabs>
                <w:tab w:val="center" w:pos="284"/>
              </w:tabs>
              <w:ind w:left="266" w:hanging="266"/>
              <w:rPr>
                <w:b/>
              </w:rPr>
            </w:pPr>
            <w:r w:rsidRPr="005C4571">
              <w:rPr>
                <w:b/>
              </w:rPr>
              <w:t>Rapporteur</w:t>
            </w:r>
          </w:p>
        </w:tc>
        <w:tc>
          <w:tcPr>
            <w:tcW w:w="4102" w:type="pct"/>
          </w:tcPr>
          <w:p w:rsidRPr="00BE1F8F" w:rsidR="009B199C" w:rsidP="00BE1F8F" w:rsidRDefault="009B199C" w14:paraId="7707B7CD" w14:textId="40636FC3">
            <w:pPr>
              <w:tabs>
                <w:tab w:val="center" w:pos="284"/>
              </w:tabs>
              <w:ind w:left="266" w:hanging="266"/>
              <w:rPr>
                <w:bCs/>
              </w:rPr>
            </w:pPr>
            <w:r w:rsidRPr="005C4571">
              <w:rPr>
                <w:bCs/>
              </w:rPr>
              <w:t xml:space="preserve">Petru Sorin DANDEA (Workers' Group </w:t>
            </w:r>
            <w:r w:rsidR="00F54B68">
              <w:rPr>
                <w:b/>
                <w:bCs/>
                <w:i/>
                <w:iCs/>
              </w:rPr>
              <w:t>-</w:t>
            </w:r>
            <w:r w:rsidRPr="005C4571">
              <w:rPr>
                <w:b/>
                <w:bCs/>
                <w:i/>
                <w:iCs/>
              </w:rPr>
              <w:t xml:space="preserve"> </w:t>
            </w:r>
            <w:r w:rsidRPr="005C4571">
              <w:rPr>
                <w:bCs/>
              </w:rPr>
              <w:t>RO)</w:t>
            </w:r>
          </w:p>
        </w:tc>
      </w:tr>
      <w:tr w:rsidRPr="005C4571" w:rsidR="009B199C" w:rsidTr="00BE1F8F" w14:paraId="78616870" w14:textId="77777777">
        <w:trPr>
          <w:trHeight w:val="484"/>
        </w:trPr>
        <w:tc>
          <w:tcPr>
            <w:tcW w:w="898" w:type="pct"/>
          </w:tcPr>
          <w:p w:rsidRPr="005C4571" w:rsidR="009B199C" w:rsidP="00BE1F8F" w:rsidRDefault="009B199C" w14:paraId="271ACA41" w14:textId="77777777">
            <w:pPr>
              <w:tabs>
                <w:tab w:val="center" w:pos="284"/>
              </w:tabs>
              <w:ind w:left="266" w:hanging="266"/>
              <w:rPr>
                <w:b/>
              </w:rPr>
            </w:pPr>
            <w:r w:rsidRPr="005C4571">
              <w:rPr>
                <w:b/>
              </w:rPr>
              <w:t>References</w:t>
            </w:r>
          </w:p>
        </w:tc>
        <w:tc>
          <w:tcPr>
            <w:tcW w:w="4102" w:type="pct"/>
          </w:tcPr>
          <w:p w:rsidR="00FA7642" w:rsidP="00BE1F8F" w:rsidRDefault="009B199C" w14:paraId="3B2FCABD" w14:textId="77777777">
            <w:pPr>
              <w:tabs>
                <w:tab w:val="center" w:pos="284"/>
              </w:tabs>
              <w:ind w:left="266" w:hanging="266"/>
            </w:pPr>
            <w:r w:rsidRPr="005C4571">
              <w:t>COM(2024) 700 final</w:t>
            </w:r>
          </w:p>
          <w:p w:rsidRPr="005C4571" w:rsidR="009B199C" w:rsidP="00BE1F8F" w:rsidRDefault="009B199C" w14:paraId="49CDD496" w14:textId="3FA98205">
            <w:pPr>
              <w:tabs>
                <w:tab w:val="center" w:pos="284"/>
              </w:tabs>
              <w:ind w:left="266" w:hanging="266"/>
            </w:pPr>
            <w:r w:rsidRPr="005C4571">
              <w:t>EESC-2024-04138-00-00-AC</w:t>
            </w:r>
          </w:p>
        </w:tc>
      </w:tr>
    </w:tbl>
    <w:p w:rsidR="00BE1F8F" w:rsidP="00BE1F8F" w:rsidRDefault="00BE1F8F" w14:paraId="012909FD" w14:textId="77777777">
      <w:pPr>
        <w:keepNext/>
        <w:keepLines/>
        <w:tabs>
          <w:tab w:val="center" w:pos="284"/>
        </w:tabs>
        <w:ind w:left="266" w:hanging="266"/>
        <w:rPr>
          <w:b/>
        </w:rPr>
      </w:pPr>
    </w:p>
    <w:p w:rsidRPr="005C4571" w:rsidR="009B199C" w:rsidP="00BE1F8F" w:rsidRDefault="009B199C" w14:paraId="4BF08ABF" w14:textId="41C36C93">
      <w:pPr>
        <w:keepNext/>
        <w:keepLines/>
        <w:tabs>
          <w:tab w:val="center" w:pos="284"/>
        </w:tabs>
        <w:ind w:left="266" w:hanging="266"/>
        <w:rPr>
          <w:b/>
        </w:rPr>
      </w:pPr>
      <w:r w:rsidRPr="005C4571">
        <w:rPr>
          <w:b/>
        </w:rPr>
        <w:t>Key points</w:t>
      </w:r>
    </w:p>
    <w:p w:rsidRPr="005C4571" w:rsidR="009B199C" w:rsidP="00BE1F8F" w:rsidRDefault="009B199C" w14:paraId="6607972D" w14:textId="77777777">
      <w:pPr>
        <w:keepNext/>
        <w:keepLines/>
        <w:tabs>
          <w:tab w:val="center" w:pos="284"/>
        </w:tabs>
        <w:ind w:left="266" w:hanging="266"/>
        <w:rPr>
          <w:b/>
        </w:rPr>
      </w:pPr>
    </w:p>
    <w:p w:rsidR="009B199C" w:rsidP="00BE1F8F" w:rsidRDefault="009B199C" w14:paraId="4C3F98BA" w14:textId="77777777">
      <w:pPr>
        <w:rPr>
          <w:bCs/>
          <w:iCs/>
        </w:rPr>
      </w:pPr>
      <w:r w:rsidRPr="005C4571">
        <w:rPr>
          <w:bCs/>
          <w:iCs/>
        </w:rPr>
        <w:t>The EESC:</w:t>
      </w:r>
    </w:p>
    <w:p w:rsidRPr="005C4571" w:rsidR="009B199C" w:rsidP="00BE1F8F" w:rsidRDefault="009B199C" w14:paraId="3ED2E951" w14:textId="77777777">
      <w:pPr>
        <w:numPr>
          <w:ilvl w:val="0"/>
          <w:numId w:val="19"/>
        </w:numPr>
        <w:ind w:left="284" w:hanging="284"/>
        <w:contextualSpacing/>
        <w:rPr>
          <w:lang w:eastAsia="zh-CN"/>
        </w:rPr>
      </w:pPr>
      <w:r w:rsidRPr="005C4571">
        <w:rPr>
          <w:lang w:eastAsia="zh-CN"/>
        </w:rPr>
        <w:t>finds it highly regrettable and incomprehensible that, in the turbulent political, social and economic global context, the European Commission has chosen not to publish the Annual Sustainable Growth Survey;</w:t>
      </w:r>
    </w:p>
    <w:p w:rsidRPr="005C4571" w:rsidR="009B199C" w:rsidP="00BE1F8F" w:rsidRDefault="009B199C" w14:paraId="3C4DA8C9" w14:textId="77777777">
      <w:pPr>
        <w:numPr>
          <w:ilvl w:val="0"/>
          <w:numId w:val="19"/>
        </w:numPr>
        <w:ind w:left="284" w:hanging="284"/>
        <w:contextualSpacing/>
        <w:rPr>
          <w:lang w:eastAsia="zh-CN"/>
        </w:rPr>
      </w:pPr>
      <w:r w:rsidRPr="005C4571">
        <w:rPr>
          <w:lang w:eastAsia="zh-CN"/>
        </w:rPr>
        <w:t>takes the view that the serious and growing geopolitical risks and the deterioration of multilateral institutions may eventually have a serious impact on European economies, trade, inflation and growth;</w:t>
      </w:r>
    </w:p>
    <w:p w:rsidRPr="005C4571" w:rsidR="009B199C" w:rsidP="00BE1F8F" w:rsidRDefault="009B199C" w14:paraId="0A50F121" w14:textId="77777777">
      <w:pPr>
        <w:numPr>
          <w:ilvl w:val="0"/>
          <w:numId w:val="19"/>
        </w:numPr>
        <w:ind w:left="284" w:hanging="284"/>
        <w:contextualSpacing/>
        <w:rPr>
          <w:lang w:eastAsia="zh-CN"/>
        </w:rPr>
      </w:pPr>
      <w:r w:rsidRPr="005C4571">
        <w:rPr>
          <w:lang w:eastAsia="zh-CN"/>
        </w:rPr>
        <w:t>welcomes the Commission’s efforts to launch the implementation cycle of the new European governance framework and encourages the Commission to finalise this process as soon as possible;</w:t>
      </w:r>
    </w:p>
    <w:p w:rsidRPr="005C4571" w:rsidR="009B199C" w:rsidP="00BE1F8F" w:rsidRDefault="009B199C" w14:paraId="5E3F24C0" w14:textId="77777777">
      <w:pPr>
        <w:numPr>
          <w:ilvl w:val="0"/>
          <w:numId w:val="19"/>
        </w:numPr>
        <w:ind w:left="284" w:hanging="284"/>
        <w:contextualSpacing/>
        <w:rPr>
          <w:lang w:eastAsia="zh-CN"/>
        </w:rPr>
      </w:pPr>
      <w:r w:rsidRPr="005C4571">
        <w:rPr>
          <w:lang w:eastAsia="zh-CN"/>
        </w:rPr>
        <w:t>underlines the position of civil society that, while the Autumn Package emphasises the importance of stakeholder engagement, there is a perceived lack of concrete mechanisms to involve social partners and civil society organisations adequately and effectively at national level;</w:t>
      </w:r>
    </w:p>
    <w:p w:rsidRPr="005C4571" w:rsidR="009B199C" w:rsidP="00BE1F8F" w:rsidRDefault="009B199C" w14:paraId="3771C892" w14:textId="77777777">
      <w:pPr>
        <w:numPr>
          <w:ilvl w:val="0"/>
          <w:numId w:val="19"/>
        </w:numPr>
        <w:ind w:left="284" w:hanging="284"/>
        <w:contextualSpacing/>
        <w:rPr>
          <w:lang w:eastAsia="zh-CN"/>
        </w:rPr>
      </w:pPr>
      <w:r w:rsidRPr="005C4571">
        <w:rPr>
          <w:lang w:eastAsia="zh-CN"/>
        </w:rPr>
        <w:t>agrees with the Commission’s proposal to launch the competitiveness compass;</w:t>
      </w:r>
    </w:p>
    <w:p w:rsidRPr="005C4571" w:rsidR="009B199C" w:rsidP="00BE1F8F" w:rsidRDefault="009B199C" w14:paraId="23285551" w14:textId="77777777">
      <w:pPr>
        <w:numPr>
          <w:ilvl w:val="0"/>
          <w:numId w:val="19"/>
        </w:numPr>
        <w:ind w:left="284" w:hanging="284"/>
        <w:contextualSpacing/>
        <w:rPr>
          <w:lang w:eastAsia="zh-CN"/>
        </w:rPr>
      </w:pPr>
      <w:r w:rsidRPr="005C4571">
        <w:rPr>
          <w:lang w:eastAsia="zh-CN"/>
        </w:rPr>
        <w:t>agrees with the conclusion of the Draghi report that the main factor behind the negative productivity and competitiveness differentials of the EU economy compared to the US and China is the large investment deficit accumulated over the last two decades;</w:t>
      </w:r>
    </w:p>
    <w:p w:rsidRPr="005C4571" w:rsidR="009B199C" w:rsidP="00BE1F8F" w:rsidRDefault="009B199C" w14:paraId="5D5DDAD1" w14:textId="77777777">
      <w:pPr>
        <w:numPr>
          <w:ilvl w:val="0"/>
          <w:numId w:val="19"/>
        </w:numPr>
        <w:ind w:left="284" w:hanging="284"/>
        <w:contextualSpacing/>
        <w:rPr>
          <w:lang w:eastAsia="zh-CN"/>
        </w:rPr>
      </w:pPr>
      <w:r w:rsidRPr="005C4571">
        <w:rPr>
          <w:lang w:eastAsia="zh-CN"/>
        </w:rPr>
        <w:t>believes that investment must be financed by public and private, national and European capital;</w:t>
      </w:r>
    </w:p>
    <w:p w:rsidRPr="005C4571" w:rsidR="009B199C" w:rsidP="00BE1F8F" w:rsidRDefault="009B199C" w14:paraId="74A06E52" w14:textId="77777777">
      <w:pPr>
        <w:numPr>
          <w:ilvl w:val="0"/>
          <w:numId w:val="19"/>
        </w:numPr>
        <w:ind w:left="284" w:hanging="284"/>
        <w:contextualSpacing/>
        <w:rPr>
          <w:lang w:eastAsia="zh-CN"/>
        </w:rPr>
      </w:pPr>
      <w:r w:rsidRPr="005C4571">
        <w:rPr>
          <w:lang w:eastAsia="zh-CN"/>
        </w:rPr>
        <w:t>acknowledges the Commission’s proposal that country-specific recommendations (CSRs) should be geared towards better implementation of the reforms and investments included in the Recovery and Resilience Facility (RRF) and the MFF, as both are approaching their end, in 2026 and 2027 respectively;</w:t>
      </w:r>
    </w:p>
    <w:p w:rsidRPr="005C4571" w:rsidR="009B199C" w:rsidP="00BE1F8F" w:rsidRDefault="009B199C" w14:paraId="49B53D4B" w14:textId="77777777">
      <w:pPr>
        <w:numPr>
          <w:ilvl w:val="0"/>
          <w:numId w:val="19"/>
        </w:numPr>
        <w:ind w:left="284" w:hanging="284"/>
        <w:contextualSpacing/>
        <w:rPr>
          <w:lang w:eastAsia="zh-CN"/>
        </w:rPr>
      </w:pPr>
      <w:r w:rsidRPr="005C4571">
        <w:rPr>
          <w:lang w:eastAsia="zh-CN"/>
        </w:rPr>
        <w:t>believes that, in the difficult political and economic context that the EU is experiencing, better cooperation between Member States is the key to overcoming these obstacles;</w:t>
      </w:r>
    </w:p>
    <w:p w:rsidRPr="005C4571" w:rsidR="009B199C" w:rsidP="00BE1F8F" w:rsidRDefault="009B199C" w14:paraId="48FD49AD" w14:textId="77777777">
      <w:pPr>
        <w:numPr>
          <w:ilvl w:val="0"/>
          <w:numId w:val="19"/>
        </w:numPr>
        <w:ind w:left="284" w:hanging="284"/>
        <w:contextualSpacing/>
        <w:rPr>
          <w:lang w:eastAsia="zh-CN"/>
        </w:rPr>
      </w:pPr>
      <w:r w:rsidRPr="005C4571">
        <w:rPr>
          <w:lang w:eastAsia="zh-CN"/>
        </w:rPr>
        <w:t>considers the Commission’s analyses and findings in the Joint Employment Report to be correct and fit to be carefully converted into CSRs;</w:t>
      </w:r>
    </w:p>
    <w:p w:rsidRPr="005C4571" w:rsidR="009B199C" w:rsidP="00BE1F8F" w:rsidRDefault="009B199C" w14:paraId="38004D1C" w14:textId="77777777">
      <w:pPr>
        <w:numPr>
          <w:ilvl w:val="0"/>
          <w:numId w:val="19"/>
        </w:numPr>
        <w:ind w:left="284" w:hanging="284"/>
        <w:contextualSpacing/>
        <w:rPr>
          <w:lang w:eastAsia="zh-CN"/>
        </w:rPr>
      </w:pPr>
      <w:r w:rsidRPr="005C4571">
        <w:rPr>
          <w:lang w:eastAsia="zh-CN"/>
        </w:rPr>
        <w:t xml:space="preserve">encourages the Commission to continue the programme to reduce the burden that excessive regulation places on European companies, reducing their ability to compete globally; </w:t>
      </w:r>
    </w:p>
    <w:p w:rsidRPr="005C4571" w:rsidR="009B199C" w:rsidP="00BE1F8F" w:rsidRDefault="009B199C" w14:paraId="7E9B0E26" w14:textId="77777777">
      <w:pPr>
        <w:widowControl w:val="0"/>
        <w:numPr>
          <w:ilvl w:val="0"/>
          <w:numId w:val="19"/>
        </w:numPr>
        <w:ind w:left="284" w:hanging="284"/>
        <w:rPr>
          <w:bCs/>
          <w:iCs/>
        </w:rPr>
      </w:pPr>
      <w:r w:rsidRPr="005C4571">
        <w:t>takes the view that, in the country-specific recommendations, investment and reform proposals should prioritise tackling the serious housing problem.</w:t>
      </w:r>
    </w:p>
    <w:p w:rsidRPr="005C4571" w:rsidR="009B199C" w:rsidP="00BE1F8F" w:rsidRDefault="009B199C" w14:paraId="1D7AC5FD" w14:textId="77777777">
      <w:pPr>
        <w:widowControl w:val="0"/>
        <w:ind w:left="709"/>
      </w:pPr>
    </w:p>
    <w:tbl>
      <w:tblPr>
        <w:tblW w:w="4942" w:type="pct"/>
        <w:tblLook w:val="04A0" w:firstRow="1" w:lastRow="0" w:firstColumn="1" w:lastColumn="0" w:noHBand="0" w:noVBand="1"/>
      </w:tblPr>
      <w:tblGrid>
        <w:gridCol w:w="1729"/>
        <w:gridCol w:w="7450"/>
      </w:tblGrid>
      <w:tr w:rsidRPr="005C4571" w:rsidR="009B199C" w:rsidTr="00A3780E" w14:paraId="6E6E3E29" w14:textId="77777777">
        <w:tc>
          <w:tcPr>
            <w:tcW w:w="942" w:type="pct"/>
          </w:tcPr>
          <w:p w:rsidRPr="005C4571" w:rsidR="009B199C" w:rsidP="00BE1F8F" w:rsidRDefault="009B199C" w14:paraId="0A0A29E5" w14:textId="77777777">
            <w:pPr>
              <w:rPr>
                <w:b/>
                <w:i/>
              </w:rPr>
            </w:pPr>
            <w:r w:rsidRPr="005C4571">
              <w:rPr>
                <w:b/>
                <w:i/>
              </w:rPr>
              <w:t>Contact</w:t>
            </w:r>
          </w:p>
        </w:tc>
        <w:tc>
          <w:tcPr>
            <w:tcW w:w="4058" w:type="pct"/>
          </w:tcPr>
          <w:p w:rsidRPr="005C4571" w:rsidR="009B199C" w:rsidP="00BE1F8F" w:rsidRDefault="009B199C" w14:paraId="42F5E565" w14:textId="370BC39C">
            <w:pPr>
              <w:rPr>
                <w:b/>
                <w:i/>
              </w:rPr>
            </w:pPr>
            <w:r w:rsidRPr="005C4571">
              <w:rPr>
                <w:i/>
              </w:rPr>
              <w:t>Anna P</w:t>
            </w:r>
            <w:r w:rsidRPr="005C4571" w:rsidR="00FA7642">
              <w:rPr>
                <w:i/>
              </w:rPr>
              <w:t>antazi</w:t>
            </w:r>
          </w:p>
        </w:tc>
      </w:tr>
      <w:tr w:rsidRPr="005C4571" w:rsidR="009B199C" w:rsidTr="00A3780E" w14:paraId="552BEC45" w14:textId="77777777">
        <w:tc>
          <w:tcPr>
            <w:tcW w:w="942" w:type="pct"/>
          </w:tcPr>
          <w:p w:rsidRPr="005C4571" w:rsidR="009B199C" w:rsidP="00BE1F8F" w:rsidRDefault="009B199C" w14:paraId="1653AF5F" w14:textId="77777777">
            <w:pPr>
              <w:rPr>
                <w:i/>
              </w:rPr>
            </w:pPr>
            <w:r w:rsidRPr="005C4571">
              <w:rPr>
                <w:i/>
              </w:rPr>
              <w:t>Tel.</w:t>
            </w:r>
          </w:p>
        </w:tc>
        <w:tc>
          <w:tcPr>
            <w:tcW w:w="4058" w:type="pct"/>
          </w:tcPr>
          <w:p w:rsidRPr="005C4571" w:rsidR="009B199C" w:rsidP="00BE1F8F" w:rsidRDefault="009B199C" w14:paraId="237B8862" w14:textId="77777777">
            <w:pPr>
              <w:rPr>
                <w:i/>
              </w:rPr>
            </w:pPr>
            <w:r w:rsidRPr="005C4571">
              <w:rPr>
                <w:i/>
              </w:rPr>
              <w:t>+32 25469231</w:t>
            </w:r>
          </w:p>
        </w:tc>
      </w:tr>
      <w:tr w:rsidRPr="005C4571" w:rsidR="009B199C" w:rsidTr="00A3780E" w14:paraId="3D3A9CD1" w14:textId="77777777">
        <w:tc>
          <w:tcPr>
            <w:tcW w:w="942" w:type="pct"/>
          </w:tcPr>
          <w:p w:rsidRPr="005C4571" w:rsidR="009B199C" w:rsidP="00BE1F8F" w:rsidRDefault="009B199C" w14:paraId="1113F6A6" w14:textId="77777777">
            <w:pPr>
              <w:rPr>
                <w:i/>
              </w:rPr>
            </w:pPr>
            <w:r w:rsidRPr="005C4571">
              <w:rPr>
                <w:i/>
              </w:rPr>
              <w:t>Email</w:t>
            </w:r>
          </w:p>
        </w:tc>
        <w:tc>
          <w:tcPr>
            <w:tcW w:w="4058" w:type="pct"/>
          </w:tcPr>
          <w:p w:rsidRPr="005C4571" w:rsidR="009B199C" w:rsidP="00BE1F8F" w:rsidRDefault="002C4029" w14:paraId="45EA0124" w14:textId="77777777">
            <w:pPr>
              <w:rPr>
                <w:i/>
              </w:rPr>
            </w:pPr>
            <w:hyperlink w:history="1" r:id="rId22">
              <w:r w:rsidRPr="005C4571" w:rsidR="009B199C">
                <w:rPr>
                  <w:i/>
                  <w:color w:val="0000FF"/>
                  <w:u w:val="single"/>
                </w:rPr>
                <w:t>Anna.Pantazi@eesc.europa.eu</w:t>
              </w:r>
            </w:hyperlink>
          </w:p>
        </w:tc>
      </w:tr>
    </w:tbl>
    <w:p w:rsidR="009B199C" w:rsidP="00BE1F8F" w:rsidRDefault="009B199C" w14:paraId="44976E13" w14:textId="77777777">
      <w:pPr>
        <w:jc w:val="left"/>
      </w:pPr>
      <w:r>
        <w:br w:type="page"/>
      </w:r>
    </w:p>
    <w:p w:rsidRPr="003442FB" w:rsidR="009B199C" w:rsidP="00BE1F8F" w:rsidRDefault="002C4029" w14:paraId="0066A1A1" w14:textId="4EB1C679">
      <w:pPr>
        <w:numPr>
          <w:ilvl w:val="0"/>
          <w:numId w:val="20"/>
        </w:numPr>
        <w:overflowPunct w:val="0"/>
        <w:autoSpaceDE w:val="0"/>
        <w:autoSpaceDN w:val="0"/>
        <w:adjustRightInd w:val="0"/>
        <w:ind w:left="567" w:hanging="567"/>
        <w:textAlignment w:val="baseline"/>
        <w:rPr>
          <w:sz w:val="28"/>
          <w:szCs w:val="28"/>
          <w:lang w:val="en-GB" w:eastAsia="zh-CN"/>
        </w:rPr>
      </w:pPr>
      <w:hyperlink w:history="1" r:id="rId23">
        <w:r w:rsidRPr="003442FB" w:rsidR="009B199C">
          <w:rPr>
            <w:b/>
            <w:bCs/>
            <w:i/>
            <w:iCs/>
            <w:color w:val="0000FF"/>
            <w:sz w:val="28"/>
            <w:szCs w:val="28"/>
            <w:u w:val="single"/>
            <w:lang w:val="en-GB" w:eastAsia="zh-CN"/>
          </w:rPr>
          <w:t>Administrative cooperation in the field of taxation (DAC9)</w:t>
        </w:r>
      </w:hyperlink>
    </w:p>
    <w:p w:rsidRPr="00EF5B43" w:rsidR="009B199C" w:rsidP="00BE1F8F" w:rsidRDefault="009B199C" w14:paraId="7C533EFA" w14:textId="77777777">
      <w:pPr>
        <w:tabs>
          <w:tab w:val="center" w:pos="284"/>
        </w:tabs>
        <w:overflowPunct w:val="0"/>
        <w:autoSpaceDE w:val="0"/>
        <w:autoSpaceDN w:val="0"/>
        <w:adjustRightInd w:val="0"/>
        <w:ind w:left="266" w:hanging="266"/>
        <w:textAlignment w:val="baseline"/>
        <w:rPr>
          <w:b/>
          <w:lang w:val="en-GB"/>
        </w:rPr>
      </w:pPr>
    </w:p>
    <w:tbl>
      <w:tblPr>
        <w:tblW w:w="4941" w:type="pct"/>
        <w:tblLook w:val="04A0" w:firstRow="1" w:lastRow="0" w:firstColumn="1" w:lastColumn="0" w:noHBand="0" w:noVBand="1"/>
      </w:tblPr>
      <w:tblGrid>
        <w:gridCol w:w="1667"/>
        <w:gridCol w:w="7510"/>
      </w:tblGrid>
      <w:tr w:rsidRPr="00EF5B43" w:rsidR="009B199C" w:rsidTr="00BE1F8F" w14:paraId="15407EEF" w14:textId="77777777">
        <w:tc>
          <w:tcPr>
            <w:tcW w:w="908" w:type="pct"/>
          </w:tcPr>
          <w:p w:rsidRPr="00EF5B43" w:rsidR="009B199C" w:rsidP="00BE1F8F" w:rsidRDefault="009B199C" w14:paraId="20A40472" w14:textId="77777777">
            <w:pPr>
              <w:tabs>
                <w:tab w:val="center" w:pos="284"/>
              </w:tabs>
              <w:overflowPunct w:val="0"/>
              <w:autoSpaceDE w:val="0"/>
              <w:autoSpaceDN w:val="0"/>
              <w:adjustRightInd w:val="0"/>
              <w:ind w:left="266" w:hanging="266"/>
              <w:textAlignment w:val="baseline"/>
              <w:rPr>
                <w:b/>
              </w:rPr>
            </w:pPr>
            <w:r w:rsidRPr="00EF5B43">
              <w:rPr>
                <w:b/>
              </w:rPr>
              <w:t>Rapporteur</w:t>
            </w:r>
          </w:p>
        </w:tc>
        <w:tc>
          <w:tcPr>
            <w:tcW w:w="4092" w:type="pct"/>
          </w:tcPr>
          <w:p w:rsidRPr="00EF5B43" w:rsidR="009B199C" w:rsidP="00BE1F8F" w:rsidRDefault="009B199C" w14:paraId="4F4B426F" w14:textId="77777777">
            <w:pPr>
              <w:tabs>
                <w:tab w:val="center" w:pos="284"/>
              </w:tabs>
              <w:overflowPunct w:val="0"/>
              <w:autoSpaceDE w:val="0"/>
              <w:autoSpaceDN w:val="0"/>
              <w:adjustRightInd w:val="0"/>
              <w:ind w:left="266" w:hanging="266"/>
              <w:textAlignment w:val="baseline"/>
            </w:pPr>
            <w:r w:rsidRPr="00EF5B43">
              <w:t>Krister ANDERSSON (Employers' Group - SE)</w:t>
            </w:r>
          </w:p>
        </w:tc>
      </w:tr>
      <w:tr w:rsidRPr="00EF5B43" w:rsidR="009B199C" w:rsidTr="00BE1F8F" w14:paraId="721BA5E2" w14:textId="77777777">
        <w:tc>
          <w:tcPr>
            <w:tcW w:w="908" w:type="pct"/>
            <w:vMerge w:val="restart"/>
          </w:tcPr>
          <w:p w:rsidRPr="00EF5B43" w:rsidR="009B199C" w:rsidP="00BE1F8F" w:rsidRDefault="009B199C" w14:paraId="7B3F0224" w14:textId="77777777">
            <w:pPr>
              <w:tabs>
                <w:tab w:val="center" w:pos="284"/>
              </w:tabs>
              <w:overflowPunct w:val="0"/>
              <w:autoSpaceDE w:val="0"/>
              <w:autoSpaceDN w:val="0"/>
              <w:adjustRightInd w:val="0"/>
              <w:ind w:left="266" w:hanging="266"/>
              <w:textAlignment w:val="baseline"/>
              <w:rPr>
                <w:b/>
              </w:rPr>
            </w:pPr>
            <w:r w:rsidRPr="00EF5B43">
              <w:rPr>
                <w:b/>
              </w:rPr>
              <w:t>References</w:t>
            </w:r>
          </w:p>
        </w:tc>
        <w:tc>
          <w:tcPr>
            <w:tcW w:w="4092" w:type="pct"/>
          </w:tcPr>
          <w:p w:rsidRPr="00EF5B43" w:rsidR="009B199C" w:rsidP="00BE1F8F" w:rsidRDefault="009B199C" w14:paraId="3B421B3C" w14:textId="5FD96ECD">
            <w:pPr>
              <w:tabs>
                <w:tab w:val="center" w:pos="284"/>
              </w:tabs>
              <w:overflowPunct w:val="0"/>
              <w:autoSpaceDE w:val="0"/>
              <w:autoSpaceDN w:val="0"/>
              <w:adjustRightInd w:val="0"/>
              <w:ind w:left="266" w:hanging="266"/>
              <w:textAlignment w:val="baseline"/>
            </w:pPr>
            <w:r w:rsidRPr="00EF5B43">
              <w:t xml:space="preserve">COM(2024) 497 final </w:t>
            </w:r>
          </w:p>
        </w:tc>
      </w:tr>
      <w:tr w:rsidRPr="00EF5B43" w:rsidR="009B199C" w:rsidTr="00BE1F8F" w14:paraId="0644B2C3" w14:textId="77777777">
        <w:tc>
          <w:tcPr>
            <w:tcW w:w="908" w:type="pct"/>
            <w:vMerge/>
          </w:tcPr>
          <w:p w:rsidRPr="00EF5B43" w:rsidR="009B199C" w:rsidP="00BE1F8F" w:rsidRDefault="009B199C" w14:paraId="29B7CE2E" w14:textId="77777777">
            <w:pPr>
              <w:tabs>
                <w:tab w:val="center" w:pos="284"/>
              </w:tabs>
              <w:overflowPunct w:val="0"/>
              <w:autoSpaceDE w:val="0"/>
              <w:autoSpaceDN w:val="0"/>
              <w:adjustRightInd w:val="0"/>
              <w:ind w:left="266" w:hanging="266"/>
              <w:textAlignment w:val="baseline"/>
              <w:rPr>
                <w:b/>
              </w:rPr>
            </w:pPr>
          </w:p>
        </w:tc>
        <w:tc>
          <w:tcPr>
            <w:tcW w:w="4092" w:type="pct"/>
          </w:tcPr>
          <w:p w:rsidRPr="00EF5B43" w:rsidR="009B199C" w:rsidP="00BE1F8F" w:rsidRDefault="009B199C" w14:paraId="0B6D96F4" w14:textId="337C89A9">
            <w:pPr>
              <w:tabs>
                <w:tab w:val="center" w:pos="284"/>
              </w:tabs>
              <w:overflowPunct w:val="0"/>
              <w:autoSpaceDE w:val="0"/>
              <w:autoSpaceDN w:val="0"/>
              <w:adjustRightInd w:val="0"/>
              <w:ind w:left="266" w:hanging="266"/>
              <w:textAlignment w:val="baseline"/>
            </w:pPr>
            <w:r w:rsidRPr="00EF5B43">
              <w:t>EESC-2024-04551-00-00-AC</w:t>
            </w:r>
          </w:p>
        </w:tc>
      </w:tr>
    </w:tbl>
    <w:p w:rsidRPr="00EF5B43" w:rsidR="009B199C" w:rsidP="00BE1F8F" w:rsidRDefault="009B199C" w14:paraId="148A8516" w14:textId="77777777">
      <w:pPr>
        <w:tabs>
          <w:tab w:val="center" w:pos="284"/>
        </w:tabs>
        <w:overflowPunct w:val="0"/>
        <w:autoSpaceDE w:val="0"/>
        <w:autoSpaceDN w:val="0"/>
        <w:adjustRightInd w:val="0"/>
        <w:ind w:left="266" w:hanging="266"/>
        <w:textAlignment w:val="baseline"/>
        <w:rPr>
          <w:lang w:val="en-GB"/>
        </w:rPr>
      </w:pPr>
    </w:p>
    <w:p w:rsidRPr="00EF5B43" w:rsidR="009B199C" w:rsidP="00BE1F8F" w:rsidRDefault="009B199C" w14:paraId="212050D8" w14:textId="77777777">
      <w:pPr>
        <w:keepNext/>
        <w:keepLines/>
        <w:tabs>
          <w:tab w:val="center" w:pos="284"/>
        </w:tabs>
        <w:overflowPunct w:val="0"/>
        <w:autoSpaceDE w:val="0"/>
        <w:autoSpaceDN w:val="0"/>
        <w:adjustRightInd w:val="0"/>
        <w:ind w:left="266" w:hanging="266"/>
        <w:textAlignment w:val="baseline"/>
        <w:rPr>
          <w:b/>
          <w:lang w:val="en-GB"/>
        </w:rPr>
      </w:pPr>
      <w:r w:rsidRPr="00EF5B43">
        <w:rPr>
          <w:b/>
          <w:lang w:val="en-GB"/>
        </w:rPr>
        <w:t>Key points</w:t>
      </w:r>
    </w:p>
    <w:p w:rsidRPr="00EF5B43" w:rsidR="009B199C" w:rsidP="00BE1F8F" w:rsidRDefault="009B199C" w14:paraId="6FCA3C9E" w14:textId="77777777">
      <w:pPr>
        <w:keepNext/>
        <w:keepLines/>
        <w:tabs>
          <w:tab w:val="center" w:pos="284"/>
        </w:tabs>
        <w:overflowPunct w:val="0"/>
        <w:autoSpaceDE w:val="0"/>
        <w:autoSpaceDN w:val="0"/>
        <w:adjustRightInd w:val="0"/>
        <w:ind w:left="266" w:hanging="266"/>
        <w:textAlignment w:val="baseline"/>
        <w:rPr>
          <w:b/>
          <w:lang w:val="en-GB"/>
        </w:rPr>
      </w:pPr>
    </w:p>
    <w:p w:rsidRPr="00EF5B43" w:rsidR="009B199C" w:rsidP="00BE1F8F" w:rsidRDefault="009B199C" w14:paraId="3C84648C" w14:textId="77777777">
      <w:pPr>
        <w:overflowPunct w:val="0"/>
        <w:autoSpaceDE w:val="0"/>
        <w:autoSpaceDN w:val="0"/>
        <w:adjustRightInd w:val="0"/>
        <w:textAlignment w:val="baseline"/>
        <w:rPr>
          <w:bCs/>
          <w:iCs/>
          <w:lang w:val="en-GB"/>
        </w:rPr>
      </w:pPr>
      <w:r w:rsidRPr="00EF5B43">
        <w:rPr>
          <w:bCs/>
          <w:iCs/>
          <w:lang w:val="en-GB"/>
        </w:rPr>
        <w:t>The EESC:</w:t>
      </w:r>
    </w:p>
    <w:p w:rsidRPr="00EF5B43" w:rsidR="009B199C" w:rsidP="00BE1F8F" w:rsidRDefault="009B199C" w14:paraId="58403D40" w14:textId="77777777">
      <w:pPr>
        <w:widowControl w:val="0"/>
        <w:numPr>
          <w:ilvl w:val="0"/>
          <w:numId w:val="18"/>
        </w:numPr>
        <w:overflowPunct w:val="0"/>
        <w:autoSpaceDE w:val="0"/>
        <w:autoSpaceDN w:val="0"/>
        <w:adjustRightInd w:val="0"/>
        <w:ind w:left="284" w:hanging="284"/>
        <w:textAlignment w:val="baseline"/>
        <w:rPr>
          <w:bCs/>
          <w:iCs/>
          <w:lang w:val="en-GB"/>
        </w:rPr>
      </w:pPr>
      <w:r w:rsidRPr="00EF5B43">
        <w:rPr>
          <w:bCs/>
          <w:iCs/>
          <w:lang w:val="en-GB"/>
        </w:rPr>
        <w:t>welcomes the proposal for a Council Directive amending Directive 2011/16/EU on administrative cooperation in the field of taxation (DAC9);</w:t>
      </w:r>
    </w:p>
    <w:p w:rsidRPr="00EF5B43" w:rsidR="009B199C" w:rsidP="00BE1F8F" w:rsidRDefault="009B199C" w14:paraId="337AB66A" w14:textId="77777777">
      <w:pPr>
        <w:widowControl w:val="0"/>
        <w:numPr>
          <w:ilvl w:val="0"/>
          <w:numId w:val="18"/>
        </w:numPr>
        <w:overflowPunct w:val="0"/>
        <w:autoSpaceDE w:val="0"/>
        <w:autoSpaceDN w:val="0"/>
        <w:adjustRightInd w:val="0"/>
        <w:ind w:left="284" w:hanging="284"/>
        <w:textAlignment w:val="baseline"/>
        <w:rPr>
          <w:bCs/>
          <w:iCs/>
          <w:lang w:val="en-GB"/>
        </w:rPr>
      </w:pPr>
      <w:r w:rsidRPr="00EF5B43">
        <w:rPr>
          <w:bCs/>
          <w:iCs/>
          <w:lang w:val="en-GB"/>
        </w:rPr>
        <w:t>notes that it is a transposition of the OECD/G20 Inclusive Framework, which has already been agreed;</w:t>
      </w:r>
    </w:p>
    <w:p w:rsidRPr="00EF5B43" w:rsidR="009B199C" w:rsidP="00BE1F8F" w:rsidRDefault="009B199C" w14:paraId="05B4C525" w14:textId="77777777">
      <w:pPr>
        <w:widowControl w:val="0"/>
        <w:numPr>
          <w:ilvl w:val="0"/>
          <w:numId w:val="18"/>
        </w:numPr>
        <w:overflowPunct w:val="0"/>
        <w:autoSpaceDE w:val="0"/>
        <w:autoSpaceDN w:val="0"/>
        <w:adjustRightInd w:val="0"/>
        <w:ind w:left="284" w:hanging="284"/>
        <w:textAlignment w:val="baseline"/>
        <w:rPr>
          <w:bCs/>
          <w:iCs/>
          <w:lang w:val="en-GB"/>
        </w:rPr>
      </w:pPr>
      <w:r w:rsidRPr="00EF5B43">
        <w:rPr>
          <w:bCs/>
          <w:iCs/>
          <w:lang w:val="en-GB"/>
        </w:rPr>
        <w:t>points out that legal certainty and clarity for multinational corporations and tax administrations can only be ensured by creating a single set of uniform rules applicable to all Member States;</w:t>
      </w:r>
    </w:p>
    <w:p w:rsidRPr="00EF5B43" w:rsidR="009B199C" w:rsidP="00BE1F8F" w:rsidRDefault="009B199C" w14:paraId="02FBDE9B" w14:textId="77777777">
      <w:pPr>
        <w:widowControl w:val="0"/>
        <w:numPr>
          <w:ilvl w:val="0"/>
          <w:numId w:val="18"/>
        </w:numPr>
        <w:overflowPunct w:val="0"/>
        <w:autoSpaceDE w:val="0"/>
        <w:autoSpaceDN w:val="0"/>
        <w:adjustRightInd w:val="0"/>
        <w:ind w:left="284" w:hanging="284"/>
        <w:textAlignment w:val="baseline"/>
        <w:rPr>
          <w:bCs/>
          <w:iCs/>
          <w:lang w:val="en-GB"/>
        </w:rPr>
      </w:pPr>
      <w:r w:rsidRPr="00EF5B43">
        <w:rPr>
          <w:bCs/>
          <w:iCs/>
          <w:lang w:val="en-GB"/>
        </w:rPr>
        <w:t>deems it crucial that information collected under DAC9 be used only and exclusively as intended by the Commission proposal and not for other purposes, which may allow companies in third countries to access sensitive information, thereby harming the competitive position of European companies;</w:t>
      </w:r>
    </w:p>
    <w:p w:rsidRPr="00EF5B43" w:rsidR="009B199C" w:rsidP="00BE1F8F" w:rsidRDefault="009B199C" w14:paraId="1397A2B3" w14:textId="77777777">
      <w:pPr>
        <w:widowControl w:val="0"/>
        <w:numPr>
          <w:ilvl w:val="0"/>
          <w:numId w:val="18"/>
        </w:numPr>
        <w:overflowPunct w:val="0"/>
        <w:autoSpaceDE w:val="0"/>
        <w:autoSpaceDN w:val="0"/>
        <w:adjustRightInd w:val="0"/>
        <w:ind w:left="284" w:hanging="284"/>
        <w:textAlignment w:val="baseline"/>
        <w:rPr>
          <w:bCs/>
          <w:iCs/>
          <w:lang w:val="en-GB"/>
        </w:rPr>
      </w:pPr>
      <w:r w:rsidRPr="00EF5B43">
        <w:rPr>
          <w:bCs/>
          <w:iCs/>
          <w:lang w:val="en-GB"/>
        </w:rPr>
        <w:t>regrets that no impact assessment or competitiveness check were carried out for this proposal. It would have been interesting to be able to ascertain whether the proposal brings us closer to the Commission’s general objective of reducing the administrative burden by 25%;</w:t>
      </w:r>
    </w:p>
    <w:p w:rsidRPr="00EF5B43" w:rsidR="009B199C" w:rsidP="00BE1F8F" w:rsidRDefault="009B199C" w14:paraId="3B495DF5" w14:textId="77777777">
      <w:pPr>
        <w:widowControl w:val="0"/>
        <w:numPr>
          <w:ilvl w:val="0"/>
          <w:numId w:val="18"/>
        </w:numPr>
        <w:overflowPunct w:val="0"/>
        <w:autoSpaceDE w:val="0"/>
        <w:autoSpaceDN w:val="0"/>
        <w:adjustRightInd w:val="0"/>
        <w:ind w:left="284" w:hanging="284"/>
        <w:textAlignment w:val="baseline"/>
        <w:rPr>
          <w:bCs/>
          <w:iCs/>
          <w:lang w:val="en-GB"/>
        </w:rPr>
      </w:pPr>
      <w:r w:rsidRPr="00EF5B43">
        <w:rPr>
          <w:bCs/>
          <w:iCs/>
          <w:lang w:val="en-GB"/>
        </w:rPr>
        <w:t xml:space="preserve">underlines the need to keep the rules fully in line with the OECD’s ongoing work. </w:t>
      </w:r>
    </w:p>
    <w:p w:rsidRPr="00EF5B43" w:rsidR="009B199C" w:rsidP="00BE1F8F" w:rsidRDefault="009B199C" w14:paraId="7207F72C" w14:textId="77777777">
      <w:pPr>
        <w:widowControl w:val="0"/>
        <w:overflowPunct w:val="0"/>
        <w:autoSpaceDE w:val="0"/>
        <w:autoSpaceDN w:val="0"/>
        <w:adjustRightInd w:val="0"/>
        <w:ind w:left="709"/>
        <w:textAlignment w:val="baseline"/>
        <w:rPr>
          <w:szCs w:val="20"/>
          <w:lang w:val="en-GB"/>
        </w:rPr>
      </w:pPr>
    </w:p>
    <w:tbl>
      <w:tblPr>
        <w:tblW w:w="4941" w:type="pct"/>
        <w:tblLook w:val="04A0" w:firstRow="1" w:lastRow="0" w:firstColumn="1" w:lastColumn="0" w:noHBand="0" w:noVBand="1"/>
      </w:tblPr>
      <w:tblGrid>
        <w:gridCol w:w="1667"/>
        <w:gridCol w:w="7510"/>
      </w:tblGrid>
      <w:tr w:rsidRPr="00EF5B43" w:rsidR="009B199C" w:rsidTr="00BE1F8F" w14:paraId="51274BC3" w14:textId="77777777">
        <w:tc>
          <w:tcPr>
            <w:tcW w:w="908" w:type="pct"/>
          </w:tcPr>
          <w:p w:rsidRPr="00EF5B43" w:rsidR="009B199C" w:rsidP="00BE1F8F" w:rsidRDefault="009B199C" w14:paraId="36A23BA9" w14:textId="77777777">
            <w:pPr>
              <w:overflowPunct w:val="0"/>
              <w:autoSpaceDE w:val="0"/>
              <w:autoSpaceDN w:val="0"/>
              <w:adjustRightInd w:val="0"/>
              <w:textAlignment w:val="baseline"/>
              <w:rPr>
                <w:i/>
              </w:rPr>
            </w:pPr>
            <w:r w:rsidRPr="00EF5B43">
              <w:rPr>
                <w:b/>
                <w:i/>
              </w:rPr>
              <w:t>Contact</w:t>
            </w:r>
          </w:p>
        </w:tc>
        <w:tc>
          <w:tcPr>
            <w:tcW w:w="4092" w:type="pct"/>
          </w:tcPr>
          <w:p w:rsidRPr="00EF5B43" w:rsidR="009B199C" w:rsidP="00BE1F8F" w:rsidRDefault="009B199C" w14:paraId="08D792CC" w14:textId="77777777">
            <w:pPr>
              <w:overflowPunct w:val="0"/>
              <w:autoSpaceDE w:val="0"/>
              <w:autoSpaceDN w:val="0"/>
              <w:adjustRightInd w:val="0"/>
              <w:textAlignment w:val="baseline"/>
              <w:rPr>
                <w:i/>
              </w:rPr>
            </w:pPr>
            <w:r w:rsidRPr="00EF5B43">
              <w:rPr>
                <w:i/>
              </w:rPr>
              <w:t>Jüri Soosaar</w:t>
            </w:r>
          </w:p>
        </w:tc>
      </w:tr>
      <w:tr w:rsidRPr="00EF5B43" w:rsidR="009B199C" w:rsidTr="00BE1F8F" w14:paraId="1A8CFF57" w14:textId="77777777">
        <w:tc>
          <w:tcPr>
            <w:tcW w:w="908" w:type="pct"/>
          </w:tcPr>
          <w:p w:rsidRPr="00EF5B43" w:rsidR="009B199C" w:rsidP="00BE1F8F" w:rsidRDefault="009B199C" w14:paraId="6B9265C2" w14:textId="77777777">
            <w:pPr>
              <w:overflowPunct w:val="0"/>
              <w:autoSpaceDE w:val="0"/>
              <w:autoSpaceDN w:val="0"/>
              <w:adjustRightInd w:val="0"/>
              <w:textAlignment w:val="baseline"/>
              <w:rPr>
                <w:i/>
              </w:rPr>
            </w:pPr>
            <w:r w:rsidRPr="00EF5B43">
              <w:rPr>
                <w:i/>
              </w:rPr>
              <w:t>Tel.</w:t>
            </w:r>
          </w:p>
        </w:tc>
        <w:tc>
          <w:tcPr>
            <w:tcW w:w="4092" w:type="pct"/>
          </w:tcPr>
          <w:p w:rsidRPr="00EF5B43" w:rsidR="009B199C" w:rsidP="00BE1F8F" w:rsidRDefault="009B199C" w14:paraId="6A56AF39" w14:textId="77777777">
            <w:pPr>
              <w:overflowPunct w:val="0"/>
              <w:autoSpaceDE w:val="0"/>
              <w:autoSpaceDN w:val="0"/>
              <w:adjustRightInd w:val="0"/>
              <w:textAlignment w:val="baseline"/>
              <w:rPr>
                <w:i/>
              </w:rPr>
            </w:pPr>
            <w:r w:rsidRPr="00EF5B43">
              <w:rPr>
                <w:i/>
              </w:rPr>
              <w:t>+32 2</w:t>
            </w:r>
            <w:r w:rsidRPr="00EF5B43">
              <w:rPr>
                <w:lang w:val="en-GB"/>
              </w:rPr>
              <w:t xml:space="preserve"> </w:t>
            </w:r>
            <w:r w:rsidRPr="00EF5B43">
              <w:rPr>
                <w:i/>
              </w:rPr>
              <w:t>5469628</w:t>
            </w:r>
          </w:p>
        </w:tc>
      </w:tr>
      <w:tr w:rsidRPr="00EF5B43" w:rsidR="009B199C" w:rsidTr="00BE1F8F" w14:paraId="6BB8066B" w14:textId="77777777">
        <w:tc>
          <w:tcPr>
            <w:tcW w:w="908" w:type="pct"/>
          </w:tcPr>
          <w:p w:rsidRPr="00EF5B43" w:rsidR="009B199C" w:rsidP="00BE1F8F" w:rsidRDefault="007A0964" w14:paraId="2E2C7A15" w14:textId="4BB9F468">
            <w:pPr>
              <w:overflowPunct w:val="0"/>
              <w:autoSpaceDE w:val="0"/>
              <w:autoSpaceDN w:val="0"/>
              <w:adjustRightInd w:val="0"/>
              <w:textAlignment w:val="baseline"/>
              <w:rPr>
                <w:i/>
              </w:rPr>
            </w:pPr>
            <w:r>
              <w:rPr>
                <w:i/>
              </w:rPr>
              <w:t>E</w:t>
            </w:r>
            <w:r w:rsidRPr="00EF5B43" w:rsidR="009B199C">
              <w:rPr>
                <w:i/>
              </w:rPr>
              <w:t>mail</w:t>
            </w:r>
          </w:p>
        </w:tc>
        <w:tc>
          <w:tcPr>
            <w:tcW w:w="4092" w:type="pct"/>
          </w:tcPr>
          <w:p w:rsidRPr="00EF5B43" w:rsidR="009B199C" w:rsidP="00BE1F8F" w:rsidRDefault="002C4029" w14:paraId="7B544A6C" w14:textId="195BC3BF">
            <w:pPr>
              <w:overflowPunct w:val="0"/>
              <w:autoSpaceDE w:val="0"/>
              <w:autoSpaceDN w:val="0"/>
              <w:adjustRightInd w:val="0"/>
              <w:textAlignment w:val="baseline"/>
              <w:rPr>
                <w:i/>
              </w:rPr>
            </w:pPr>
            <w:hyperlink w:history="1" r:id="rId24">
              <w:r w:rsidRPr="00EF5B43" w:rsidR="009B199C">
                <w:rPr>
                  <w:i/>
                  <w:color w:val="0000FF"/>
                  <w:u w:val="single"/>
                </w:rPr>
                <w:t>Juri.Soosaar@eesc.europa.eu</w:t>
              </w:r>
            </w:hyperlink>
          </w:p>
        </w:tc>
      </w:tr>
    </w:tbl>
    <w:p w:rsidR="009B199C" w:rsidP="00BE1F8F" w:rsidRDefault="009B199C" w14:paraId="0DDB3A60" w14:textId="77777777">
      <w:pPr>
        <w:jc w:val="left"/>
      </w:pPr>
    </w:p>
    <w:p w:rsidR="009B199C" w:rsidP="00BE1F8F" w:rsidRDefault="009B199C" w14:paraId="2E5B1FF6" w14:textId="77777777">
      <w:pPr>
        <w:jc w:val="left"/>
      </w:pPr>
      <w:r>
        <w:br w:type="page"/>
      </w:r>
    </w:p>
    <w:p w:rsidRPr="00E36EF0" w:rsidR="00773E8D" w:rsidP="00BE1F8F" w:rsidRDefault="00773E8D" w14:paraId="5A8B385C" w14:textId="1215D50B">
      <w:pPr>
        <w:widowControl w:val="0"/>
        <w:numPr>
          <w:ilvl w:val="0"/>
          <w:numId w:val="7"/>
        </w:numPr>
        <w:overflowPunct w:val="0"/>
        <w:autoSpaceDE w:val="0"/>
        <w:autoSpaceDN w:val="0"/>
        <w:adjustRightInd w:val="0"/>
        <w:ind w:left="567" w:hanging="567"/>
        <w:contextualSpacing/>
        <w:jc w:val="left"/>
        <w:textAlignment w:val="baseline"/>
      </w:pPr>
      <w:hyperlink w:history="1" r:id="rId25">
        <w:r w:rsidRPr="00773E8D">
          <w:rPr>
            <w:b/>
            <w:bCs/>
            <w:i/>
            <w:iCs/>
            <w:color w:val="0000FF"/>
            <w:sz w:val="28"/>
            <w:szCs w:val="28"/>
            <w:u w:val="single"/>
            <w:lang w:val="en-GB" w:eastAsia="zh-CN"/>
          </w:rPr>
          <w:t>Defence funding in the EU</w:t>
        </w:r>
      </w:hyperlink>
    </w:p>
    <w:p w:rsidRPr="00773E8D" w:rsidR="00773E8D" w:rsidP="00E36EF0" w:rsidRDefault="00773E8D" w14:paraId="3EB22D3F" w14:textId="77777777">
      <w:pPr>
        <w:widowControl w:val="0"/>
        <w:overflowPunct w:val="0"/>
        <w:autoSpaceDE w:val="0"/>
        <w:autoSpaceDN w:val="0"/>
        <w:adjustRightInd w:val="0"/>
        <w:contextualSpacing/>
        <w:jc w:val="left"/>
        <w:textAlignment w:val="baseline"/>
        <w:rPr>
          <w:rFonts w:ascii="Calibri" w:hAnsi="Calibri"/>
          <w:b/>
          <w:lang w:val="en-GB" w:eastAsia="zh-CN"/>
        </w:rPr>
      </w:pPr>
    </w:p>
    <w:tbl>
      <w:tblPr>
        <w:tblW w:w="0" w:type="auto"/>
        <w:tblLook w:val="04A0" w:firstRow="1" w:lastRow="0" w:firstColumn="1" w:lastColumn="0" w:noHBand="0" w:noVBand="1"/>
      </w:tblPr>
      <w:tblGrid>
        <w:gridCol w:w="1701"/>
        <w:gridCol w:w="7088"/>
      </w:tblGrid>
      <w:tr w:rsidRPr="00773E8D" w:rsidR="00773E8D" w:rsidTr="00257E74" w14:paraId="7736047E" w14:textId="77777777">
        <w:tc>
          <w:tcPr>
            <w:tcW w:w="1701" w:type="dxa"/>
          </w:tcPr>
          <w:p w:rsidRPr="00773E8D" w:rsidR="00773E8D" w:rsidP="00BE1F8F" w:rsidRDefault="00773E8D" w14:paraId="29FDFBF0" w14:textId="77777777">
            <w:pPr>
              <w:overflowPunct w:val="0"/>
              <w:autoSpaceDE w:val="0"/>
              <w:autoSpaceDN w:val="0"/>
              <w:adjustRightInd w:val="0"/>
              <w:ind w:left="176" w:hanging="284"/>
              <w:textAlignment w:val="baseline"/>
              <w:rPr>
                <w:b/>
                <w:lang w:val="en-GB"/>
              </w:rPr>
            </w:pPr>
            <w:r w:rsidRPr="00773E8D">
              <w:rPr>
                <w:b/>
                <w:lang w:val="en-GB"/>
              </w:rPr>
              <w:t>Rapporteur</w:t>
            </w:r>
          </w:p>
        </w:tc>
        <w:tc>
          <w:tcPr>
            <w:tcW w:w="7088" w:type="dxa"/>
          </w:tcPr>
          <w:p w:rsidRPr="00773E8D" w:rsidR="00773E8D" w:rsidP="00BE1F8F" w:rsidRDefault="00773E8D" w14:paraId="0FB6E9DA" w14:textId="77777777">
            <w:pPr>
              <w:tabs>
                <w:tab w:val="center" w:pos="284"/>
              </w:tabs>
              <w:overflowPunct w:val="0"/>
              <w:autoSpaceDE w:val="0"/>
              <w:autoSpaceDN w:val="0"/>
              <w:adjustRightInd w:val="0"/>
              <w:textAlignment w:val="baseline"/>
              <w:rPr>
                <w:lang w:val="en-GB"/>
              </w:rPr>
            </w:pPr>
            <w:r w:rsidRPr="00773E8D">
              <w:rPr>
                <w:lang w:val="en-GB"/>
              </w:rPr>
              <w:t>Marcin NOWACKI (Employers' Group – PL)</w:t>
            </w:r>
          </w:p>
        </w:tc>
      </w:tr>
      <w:tr w:rsidRPr="00773E8D" w:rsidR="00773E8D" w:rsidTr="00257E74" w14:paraId="1DEF454E" w14:textId="77777777">
        <w:tc>
          <w:tcPr>
            <w:tcW w:w="1701" w:type="dxa"/>
          </w:tcPr>
          <w:p w:rsidRPr="00773E8D" w:rsidR="00773E8D" w:rsidP="00BE1F8F" w:rsidRDefault="00773E8D" w14:paraId="18280023" w14:textId="49E04DB4">
            <w:pPr>
              <w:tabs>
                <w:tab w:val="center" w:pos="284"/>
              </w:tabs>
              <w:overflowPunct w:val="0"/>
              <w:autoSpaceDE w:val="0"/>
              <w:autoSpaceDN w:val="0"/>
              <w:adjustRightInd w:val="0"/>
              <w:ind w:left="266" w:hanging="374"/>
              <w:textAlignment w:val="baseline"/>
              <w:rPr>
                <w:b/>
                <w:lang w:val="en-GB"/>
              </w:rPr>
            </w:pPr>
            <w:r w:rsidRPr="00773E8D">
              <w:rPr>
                <w:b/>
                <w:lang w:val="en-GB"/>
              </w:rPr>
              <w:t>Reference</w:t>
            </w:r>
          </w:p>
        </w:tc>
        <w:tc>
          <w:tcPr>
            <w:tcW w:w="7088" w:type="dxa"/>
          </w:tcPr>
          <w:p w:rsidRPr="00773E8D" w:rsidR="00773E8D" w:rsidP="00BE1F8F" w:rsidRDefault="00773E8D" w14:paraId="519A0CF0" w14:textId="0E3E4972">
            <w:pPr>
              <w:tabs>
                <w:tab w:val="center" w:pos="284"/>
              </w:tabs>
              <w:overflowPunct w:val="0"/>
              <w:autoSpaceDE w:val="0"/>
              <w:autoSpaceDN w:val="0"/>
              <w:adjustRightInd w:val="0"/>
              <w:textAlignment w:val="baseline"/>
              <w:rPr>
                <w:highlight w:val="yellow"/>
                <w:lang w:val="en-GB"/>
              </w:rPr>
            </w:pPr>
            <w:r w:rsidRPr="00773E8D">
              <w:rPr>
                <w:lang w:val="en-GB"/>
              </w:rPr>
              <w:t>Exploratory opinion - EESC-2024-03643-00-01-A</w:t>
            </w:r>
            <w:r>
              <w:rPr>
                <w:lang w:val="en-GB"/>
              </w:rPr>
              <w:t>C</w:t>
            </w:r>
          </w:p>
        </w:tc>
      </w:tr>
    </w:tbl>
    <w:p w:rsidRPr="00773E8D" w:rsidR="00773E8D" w:rsidP="00BE1F8F" w:rsidRDefault="00773E8D" w14:paraId="7F428D4F" w14:textId="77777777">
      <w:pPr>
        <w:keepNext/>
        <w:keepLines/>
        <w:tabs>
          <w:tab w:val="center" w:pos="284"/>
        </w:tabs>
        <w:overflowPunct w:val="0"/>
        <w:autoSpaceDE w:val="0"/>
        <w:autoSpaceDN w:val="0"/>
        <w:adjustRightInd w:val="0"/>
        <w:ind w:left="266" w:hanging="266"/>
        <w:textAlignment w:val="baseline"/>
        <w:rPr>
          <w:b/>
          <w:lang w:val="en-GB"/>
        </w:rPr>
      </w:pPr>
    </w:p>
    <w:p w:rsidRPr="00773E8D" w:rsidR="00773E8D" w:rsidP="00BE1F8F" w:rsidRDefault="00773E8D" w14:paraId="373416F2" w14:textId="77777777">
      <w:pPr>
        <w:keepNext/>
        <w:keepLines/>
        <w:tabs>
          <w:tab w:val="center" w:pos="284"/>
        </w:tabs>
        <w:overflowPunct w:val="0"/>
        <w:autoSpaceDE w:val="0"/>
        <w:autoSpaceDN w:val="0"/>
        <w:adjustRightInd w:val="0"/>
        <w:ind w:left="266" w:hanging="266"/>
        <w:textAlignment w:val="baseline"/>
        <w:rPr>
          <w:b/>
          <w:lang w:val="en-GB"/>
        </w:rPr>
      </w:pPr>
      <w:r w:rsidRPr="00773E8D">
        <w:rPr>
          <w:b/>
          <w:lang w:val="en-GB"/>
        </w:rPr>
        <w:t>Key points</w:t>
      </w:r>
    </w:p>
    <w:p w:rsidRPr="00773E8D" w:rsidR="00773E8D" w:rsidP="00BE1F8F" w:rsidRDefault="00773E8D" w14:paraId="64611682" w14:textId="77777777">
      <w:pPr>
        <w:keepNext/>
        <w:keepLines/>
        <w:tabs>
          <w:tab w:val="center" w:pos="284"/>
        </w:tabs>
        <w:overflowPunct w:val="0"/>
        <w:autoSpaceDE w:val="0"/>
        <w:autoSpaceDN w:val="0"/>
        <w:adjustRightInd w:val="0"/>
        <w:ind w:left="266" w:hanging="266"/>
        <w:textAlignment w:val="baseline"/>
        <w:rPr>
          <w:b/>
          <w:lang w:val="en-GB"/>
        </w:rPr>
      </w:pPr>
    </w:p>
    <w:p w:rsidR="00773E8D" w:rsidP="00BE1F8F" w:rsidRDefault="00773E8D" w14:paraId="7BA955D6" w14:textId="77777777">
      <w:pPr>
        <w:overflowPunct w:val="0"/>
        <w:autoSpaceDE w:val="0"/>
        <w:autoSpaceDN w:val="0"/>
        <w:adjustRightInd w:val="0"/>
        <w:ind w:left="425" w:hanging="425"/>
        <w:textAlignment w:val="baseline"/>
        <w:rPr>
          <w:szCs w:val="20"/>
          <w:lang w:val="en-GB"/>
        </w:rPr>
      </w:pPr>
      <w:r w:rsidRPr="00773E8D">
        <w:rPr>
          <w:szCs w:val="20"/>
          <w:lang w:val="en-GB"/>
        </w:rPr>
        <w:t>The EESC:</w:t>
      </w:r>
    </w:p>
    <w:p w:rsidRPr="00773E8D" w:rsidR="00773E8D" w:rsidP="00E36EF0" w:rsidRDefault="00773E8D" w14:paraId="2A4EE010"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underscores the urgent need to address the evolving security landscape in Europe through robust and unified defence funding mechanisms. Geopolitical challenges, particularly the Russian aggression against Ukraine, necessitate immediate and strategic investment in defence capabilities, both military and civil preparedness, to safeguard the EU’s fundamental values, peace, security and economic interests;</w:t>
      </w:r>
    </w:p>
    <w:p w:rsidRPr="00773E8D" w:rsidR="00773E8D" w:rsidP="00E36EF0" w:rsidRDefault="00773E8D" w14:paraId="2EF6A041"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stresses that the EU must clearly define its defence policy objectives and strengthen the European pillar of defence, which must link its resources and operational capabilities with NATO. Defence policy is part of the EU’s foreign and security policy, which must promote peace, democracy and human rights on our continent and its geographical environment and in the world, and defend the multilateral institutions of the UN system;</w:t>
      </w:r>
    </w:p>
    <w:p w:rsidRPr="00773E8D" w:rsidR="00773E8D" w:rsidP="00E36EF0" w:rsidRDefault="00773E8D" w14:paraId="466E9A4E"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emphasises the need to find ways to step up EU defence capabilities in accordance with the Treaty;</w:t>
      </w:r>
    </w:p>
    <w:p w:rsidRPr="00773E8D" w:rsidR="00773E8D" w:rsidP="00E36EF0" w:rsidRDefault="00773E8D" w14:paraId="1C22811F"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stresses the importance of deepening collaboration between the EU and NATO to ensure a unified approach to defence;</w:t>
      </w:r>
    </w:p>
    <w:p w:rsidRPr="00773E8D" w:rsidR="00773E8D" w:rsidP="00E36EF0" w:rsidRDefault="00773E8D" w14:paraId="72C0537B"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underlines the importance of European NATO members committing to spending at least 2.5% of their GDP on defence;</w:t>
      </w:r>
    </w:p>
    <w:p w:rsidRPr="00773E8D" w:rsidR="00773E8D" w:rsidP="00E36EF0" w:rsidRDefault="00773E8D" w14:paraId="574F91FD"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stresses that immediate funding priorities should include the development and production of modern defence systems. Strengthening investment in such technologies should commence without delay, even within the current MFF budgetary period;</w:t>
      </w:r>
    </w:p>
    <w:p w:rsidRPr="00773E8D" w:rsidR="00773E8D" w:rsidP="00E36EF0" w:rsidRDefault="00773E8D" w14:paraId="22A07DF0"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stresses that strengthening the European Defence Technological and Industrial Base (EDTIB) is vital for reducing reliance on external suppliers and fostering innovation within the EU;</w:t>
      </w:r>
    </w:p>
    <w:p w:rsidRPr="00773E8D" w:rsidR="00773E8D" w:rsidP="00E36EF0" w:rsidRDefault="00773E8D" w14:paraId="020C30AA"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advocates the expansion of joint procurement mechanisms, including the European Peace Facility (EPF), to maximise resource efficiency and enhance strategic partnership. Initiatives such as the Act in Support of Ammunition Production (ASAP) and the European Defence Industry Reinforcement through Common Procurement Act (EDIRPA) should be scaled up to address production bottlenecks and operational readiness;</w:t>
      </w:r>
    </w:p>
    <w:p w:rsidRPr="00BE1F8F" w:rsidR="00773E8D" w:rsidP="00E36EF0" w:rsidRDefault="00773E8D" w14:paraId="28B3A062" w14:textId="77777777">
      <w:pPr>
        <w:numPr>
          <w:ilvl w:val="0"/>
          <w:numId w:val="44"/>
        </w:numPr>
        <w:overflowPunct w:val="0"/>
        <w:autoSpaceDE w:val="0"/>
        <w:autoSpaceDN w:val="0"/>
        <w:adjustRightInd w:val="0"/>
        <w:ind w:left="284" w:hanging="284"/>
        <w:contextualSpacing/>
        <w:textAlignment w:val="baseline"/>
        <w:rPr>
          <w:lang w:val="en-GB" w:eastAsia="zh-CN"/>
        </w:rPr>
      </w:pPr>
      <w:r w:rsidRPr="00BE1F8F">
        <w:rPr>
          <w:lang w:val="en-GB" w:eastAsia="zh-CN"/>
        </w:rPr>
        <w:t xml:space="preserve">stresses that partnerships with third countries should be pursued to advance joint efforts in security infrastructure and technological innovation; </w:t>
      </w:r>
    </w:p>
    <w:p w:rsidRPr="00BE1F8F" w:rsidR="00773E8D" w:rsidP="00E36EF0" w:rsidRDefault="00773E8D" w14:paraId="0E1C930B" w14:textId="77777777">
      <w:pPr>
        <w:numPr>
          <w:ilvl w:val="0"/>
          <w:numId w:val="44"/>
        </w:numPr>
        <w:overflowPunct w:val="0"/>
        <w:autoSpaceDE w:val="0"/>
        <w:autoSpaceDN w:val="0"/>
        <w:adjustRightInd w:val="0"/>
        <w:ind w:left="284" w:hanging="284"/>
        <w:contextualSpacing/>
        <w:textAlignment w:val="baseline"/>
        <w:rPr>
          <w:lang w:val="en-GB" w:eastAsia="zh-CN"/>
        </w:rPr>
      </w:pPr>
      <w:r w:rsidRPr="00BE1F8F">
        <w:rPr>
          <w:lang w:val="en-GB" w:eastAsia="zh-CN"/>
        </w:rPr>
        <w:t>underscores the importance of public-private partnerships as a complementary tool to leverage expertise and resources, accelerating innovation and deployment in critical areas;</w:t>
      </w:r>
    </w:p>
    <w:p w:rsidRPr="00773E8D" w:rsidR="00773E8D" w:rsidP="00E36EF0" w:rsidRDefault="00773E8D" w14:paraId="7941C364" w14:textId="77777777">
      <w:pPr>
        <w:numPr>
          <w:ilvl w:val="0"/>
          <w:numId w:val="44"/>
        </w:numPr>
        <w:overflowPunct w:val="0"/>
        <w:autoSpaceDE w:val="0"/>
        <w:autoSpaceDN w:val="0"/>
        <w:adjustRightInd w:val="0"/>
        <w:ind w:left="284" w:hanging="284"/>
        <w:contextualSpacing/>
        <w:textAlignment w:val="baseline"/>
        <w:rPr>
          <w:lang w:val="en-GB" w:eastAsia="zh-CN"/>
        </w:rPr>
      </w:pPr>
      <w:r w:rsidRPr="00BE1F8F">
        <w:rPr>
          <w:lang w:val="en-GB" w:eastAsia="zh-CN"/>
        </w:rPr>
        <w:t>stresses that defence funding should prioritise support for the EU countries</w:t>
      </w:r>
      <w:r w:rsidRPr="00773E8D">
        <w:rPr>
          <w:lang w:val="en-GB" w:eastAsia="zh-CN"/>
        </w:rPr>
        <w:t xml:space="preserve"> on the external borders that are most directly impacted by regional conflicts on the condition that they strictly observe the  collective EU and NATO goals and principles;</w:t>
      </w:r>
    </w:p>
    <w:p w:rsidRPr="00773E8D" w:rsidR="00773E8D" w:rsidP="00E36EF0" w:rsidRDefault="00773E8D" w14:paraId="6AF1CE95"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highlights the importance of integrating defence funding into broader EU financial mechanisms, including the next Multiannual Financial Framework (MFF), without compromising other critical EU priorities such as cohesion policy, green transition and the European Pillar of Social Rights;</w:t>
      </w:r>
    </w:p>
    <w:p w:rsidRPr="00773E8D" w:rsidR="00773E8D" w:rsidP="00E36EF0" w:rsidRDefault="00773E8D" w14:paraId="598F22B0"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stresses that public awareness campaigns should be implemented to highlight the vital role of defence funding in ensuring Europe’s peace and security, as well as Europe’s democratic way of life and social cohesion;</w:t>
      </w:r>
    </w:p>
    <w:p w:rsidRPr="00773E8D" w:rsidR="00773E8D" w:rsidP="00E36EF0" w:rsidRDefault="00773E8D" w14:paraId="63329DD1"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feels that the EU is obliged to establish a common defence policy, in the framework of a common foreign and security policy, to build a strong European Defence Pillar and to take the necessary legislative and financial measures to that end;</w:t>
      </w:r>
    </w:p>
    <w:p w:rsidR="00773E8D" w:rsidP="00E36EF0" w:rsidRDefault="00773E8D" w14:paraId="27DD39A3" w14:textId="77777777">
      <w:pPr>
        <w:numPr>
          <w:ilvl w:val="0"/>
          <w:numId w:val="44"/>
        </w:numPr>
        <w:overflowPunct w:val="0"/>
        <w:autoSpaceDE w:val="0"/>
        <w:autoSpaceDN w:val="0"/>
        <w:adjustRightInd w:val="0"/>
        <w:ind w:left="284" w:hanging="284"/>
        <w:contextualSpacing/>
        <w:textAlignment w:val="baseline"/>
        <w:rPr>
          <w:lang w:val="en-GB" w:eastAsia="zh-CN"/>
        </w:rPr>
      </w:pPr>
      <w:r w:rsidRPr="00773E8D">
        <w:rPr>
          <w:lang w:val="en-GB" w:eastAsia="zh-CN"/>
        </w:rPr>
        <w:t>finds that the EU also needs to play an active diplomatic role to achieve a just peace in Ukraine.</w:t>
      </w:r>
    </w:p>
    <w:p w:rsidRPr="00773E8D" w:rsidR="00773E8D" w:rsidP="00E36EF0" w:rsidRDefault="00773E8D" w14:paraId="1D56F3F6" w14:textId="77777777">
      <w:pPr>
        <w:overflowPunct w:val="0"/>
        <w:autoSpaceDE w:val="0"/>
        <w:autoSpaceDN w:val="0"/>
        <w:adjustRightInd w:val="0"/>
        <w:ind w:left="284"/>
        <w:contextualSpacing/>
        <w:textAlignment w:val="baseline"/>
        <w:rPr>
          <w:lang w:val="en-GB" w:eastAsia="zh-CN"/>
        </w:rPr>
      </w:pPr>
    </w:p>
    <w:tbl>
      <w:tblPr>
        <w:tblW w:w="9180" w:type="dxa"/>
        <w:tblLook w:val="04A0" w:firstRow="1" w:lastRow="0" w:firstColumn="1" w:lastColumn="0" w:noHBand="0" w:noVBand="1"/>
      </w:tblPr>
      <w:tblGrid>
        <w:gridCol w:w="1668"/>
        <w:gridCol w:w="7512"/>
      </w:tblGrid>
      <w:tr w:rsidRPr="00773E8D" w:rsidR="00773E8D" w:rsidTr="00BE1F8F" w14:paraId="72A4C0C1" w14:textId="77777777">
        <w:tc>
          <w:tcPr>
            <w:tcW w:w="1668" w:type="dxa"/>
          </w:tcPr>
          <w:p w:rsidRPr="00773E8D" w:rsidR="00773E8D" w:rsidP="00BE1F8F" w:rsidRDefault="00773E8D" w14:paraId="6CF8EC77" w14:textId="77777777">
            <w:pPr>
              <w:overflowPunct w:val="0"/>
              <w:autoSpaceDE w:val="0"/>
              <w:autoSpaceDN w:val="0"/>
              <w:adjustRightInd w:val="0"/>
              <w:textAlignment w:val="baseline"/>
              <w:rPr>
                <w:bCs/>
                <w:i/>
                <w:lang w:val="en-GB"/>
              </w:rPr>
            </w:pPr>
            <w:r w:rsidRPr="00773E8D">
              <w:rPr>
                <w:bCs/>
                <w:i/>
                <w:lang w:val="en-GB"/>
              </w:rPr>
              <w:t>Contact</w:t>
            </w:r>
          </w:p>
        </w:tc>
        <w:tc>
          <w:tcPr>
            <w:tcW w:w="7512" w:type="dxa"/>
          </w:tcPr>
          <w:p w:rsidRPr="00C77862" w:rsidR="00773E8D" w:rsidP="00BE1F8F" w:rsidRDefault="00773E8D" w14:paraId="249491A9" w14:textId="3ED401E0">
            <w:pPr>
              <w:overflowPunct w:val="0"/>
              <w:autoSpaceDE w:val="0"/>
              <w:autoSpaceDN w:val="0"/>
              <w:adjustRightInd w:val="0"/>
              <w:textAlignment w:val="baseline"/>
              <w:rPr>
                <w:bCs/>
                <w:i/>
                <w:iCs/>
                <w:lang w:val="en-GB"/>
              </w:rPr>
            </w:pPr>
            <w:r w:rsidRPr="00C77862">
              <w:rPr>
                <w:bCs/>
                <w:i/>
                <w:iCs/>
                <w:lang w:val="en-GB"/>
              </w:rPr>
              <w:t>Gerald K</w:t>
            </w:r>
            <w:r w:rsidRPr="00C77862" w:rsidR="0015267F">
              <w:rPr>
                <w:bCs/>
                <w:i/>
                <w:iCs/>
                <w:lang w:val="en-GB"/>
              </w:rPr>
              <w:t>lec</w:t>
            </w:r>
          </w:p>
        </w:tc>
      </w:tr>
      <w:tr w:rsidRPr="00773E8D" w:rsidR="00773E8D" w:rsidTr="00BE1F8F" w14:paraId="2C039993" w14:textId="77777777">
        <w:tc>
          <w:tcPr>
            <w:tcW w:w="1668" w:type="dxa"/>
          </w:tcPr>
          <w:p w:rsidRPr="00773E8D" w:rsidR="00773E8D" w:rsidP="00BE1F8F" w:rsidRDefault="00773E8D" w14:paraId="3583AD71" w14:textId="77777777">
            <w:pPr>
              <w:overflowPunct w:val="0"/>
              <w:autoSpaceDE w:val="0"/>
              <w:autoSpaceDN w:val="0"/>
              <w:adjustRightInd w:val="0"/>
              <w:textAlignment w:val="baseline"/>
              <w:rPr>
                <w:i/>
                <w:lang w:val="en-GB"/>
              </w:rPr>
            </w:pPr>
            <w:r w:rsidRPr="00773E8D">
              <w:rPr>
                <w:i/>
                <w:lang w:val="en-GB"/>
              </w:rPr>
              <w:t>Tel.</w:t>
            </w:r>
          </w:p>
        </w:tc>
        <w:tc>
          <w:tcPr>
            <w:tcW w:w="7512" w:type="dxa"/>
          </w:tcPr>
          <w:p w:rsidRPr="00C77862" w:rsidR="00773E8D" w:rsidP="00BE1F8F" w:rsidRDefault="00773E8D" w14:paraId="17A18F4F" w14:textId="77777777">
            <w:pPr>
              <w:overflowPunct w:val="0"/>
              <w:autoSpaceDE w:val="0"/>
              <w:autoSpaceDN w:val="0"/>
              <w:adjustRightInd w:val="0"/>
              <w:textAlignment w:val="baseline"/>
              <w:rPr>
                <w:i/>
                <w:iCs/>
                <w:lang w:val="en-GB"/>
              </w:rPr>
            </w:pPr>
            <w:r w:rsidRPr="00C77862">
              <w:rPr>
                <w:i/>
                <w:iCs/>
                <w:lang w:val="en-GB"/>
              </w:rPr>
              <w:t>+32 25469909</w:t>
            </w:r>
          </w:p>
        </w:tc>
      </w:tr>
      <w:tr w:rsidRPr="00773E8D" w:rsidR="00773E8D" w:rsidTr="00BE1F8F" w14:paraId="161B9255" w14:textId="77777777">
        <w:tc>
          <w:tcPr>
            <w:tcW w:w="1668" w:type="dxa"/>
          </w:tcPr>
          <w:p w:rsidRPr="00773E8D" w:rsidR="00773E8D" w:rsidP="00BE1F8F" w:rsidRDefault="00773E8D" w14:paraId="21276802" w14:textId="77777777">
            <w:pPr>
              <w:overflowPunct w:val="0"/>
              <w:autoSpaceDE w:val="0"/>
              <w:autoSpaceDN w:val="0"/>
              <w:adjustRightInd w:val="0"/>
              <w:textAlignment w:val="baseline"/>
              <w:rPr>
                <w:i/>
                <w:lang w:val="en-GB"/>
              </w:rPr>
            </w:pPr>
            <w:r w:rsidRPr="00773E8D">
              <w:rPr>
                <w:i/>
                <w:lang w:val="en-GB"/>
              </w:rPr>
              <w:t>Email</w:t>
            </w:r>
          </w:p>
        </w:tc>
        <w:tc>
          <w:tcPr>
            <w:tcW w:w="7512" w:type="dxa"/>
          </w:tcPr>
          <w:p w:rsidRPr="00C77862" w:rsidR="00773E8D" w:rsidP="00BE1F8F" w:rsidRDefault="00773E8D" w14:paraId="7FCDD2C3" w14:textId="2AECDE8E">
            <w:pPr>
              <w:overflowPunct w:val="0"/>
              <w:autoSpaceDE w:val="0"/>
              <w:autoSpaceDN w:val="0"/>
              <w:adjustRightInd w:val="0"/>
              <w:textAlignment w:val="baseline"/>
              <w:rPr>
                <w:i/>
                <w:iCs/>
                <w:lang w:val="en-GB"/>
              </w:rPr>
            </w:pPr>
            <w:hyperlink w:history="1" r:id="rId26">
              <w:r w:rsidRPr="00C77862">
                <w:rPr>
                  <w:i/>
                  <w:iCs/>
                  <w:color w:val="0000FF"/>
                  <w:u w:val="single"/>
                  <w:lang w:val="en-GB"/>
                </w:rPr>
                <w:t>Gerald.Klec@eesc.europa.eu</w:t>
              </w:r>
            </w:hyperlink>
          </w:p>
        </w:tc>
      </w:tr>
    </w:tbl>
    <w:p w:rsidR="009B199C" w:rsidP="00BE1F8F" w:rsidRDefault="009B199C" w14:paraId="26817FC4" w14:textId="77777777">
      <w:pPr>
        <w:jc w:val="left"/>
        <w:rPr>
          <w:lang w:val="en-GB"/>
        </w:rPr>
      </w:pPr>
      <w:r>
        <w:rPr>
          <w:lang w:val="en-GB"/>
        </w:rPr>
        <w:br w:type="page"/>
      </w:r>
    </w:p>
    <w:p w:rsidRPr="00BE1F8F" w:rsidR="009B199C" w:rsidP="00BE1F8F" w:rsidRDefault="002C4029" w14:paraId="510F45CA" w14:textId="58C2B1AF">
      <w:pPr>
        <w:widowControl w:val="0"/>
        <w:numPr>
          <w:ilvl w:val="0"/>
          <w:numId w:val="2"/>
        </w:numPr>
        <w:overflowPunct w:val="0"/>
        <w:autoSpaceDE w:val="0"/>
        <w:autoSpaceDN w:val="0"/>
        <w:adjustRightInd w:val="0"/>
        <w:ind w:hanging="567"/>
        <w:textAlignment w:val="baseline"/>
      </w:pPr>
      <w:hyperlink w:history="1" r:id="rId27">
        <w:r w:rsidRPr="00792ABA" w:rsidR="009B199C">
          <w:rPr>
            <w:b/>
            <w:bCs/>
            <w:i/>
            <w:iCs/>
            <w:color w:val="0000FF"/>
            <w:sz w:val="28"/>
            <w:szCs w:val="28"/>
            <w:u w:val="single"/>
            <w:lang w:val="en-GB"/>
          </w:rPr>
          <w:t>Strengthening the results orientation of post-2027 cohesion policy – challenges, risks and opportunities</w:t>
        </w:r>
      </w:hyperlink>
    </w:p>
    <w:p w:rsidRPr="00BE1F8F" w:rsidR="009B199C" w:rsidP="00BE1F8F" w:rsidRDefault="009B199C" w14:paraId="51F52A14" w14:textId="77777777">
      <w:pPr>
        <w:widowControl w:val="0"/>
        <w:overflowPunct w:val="0"/>
        <w:autoSpaceDE w:val="0"/>
        <w:autoSpaceDN w:val="0"/>
        <w:adjustRightInd w:val="0"/>
        <w:ind w:left="283"/>
        <w:textAlignment w:val="baseline"/>
        <w:rPr>
          <w:b/>
          <w:i/>
          <w:iCs/>
          <w:sz w:val="12"/>
          <w:szCs w:val="12"/>
          <w:lang w:val="en-GB"/>
        </w:rPr>
      </w:pPr>
    </w:p>
    <w:tbl>
      <w:tblPr>
        <w:tblW w:w="0" w:type="auto"/>
        <w:tblLook w:val="04A0" w:firstRow="1" w:lastRow="0" w:firstColumn="1" w:lastColumn="0" w:noHBand="0" w:noVBand="1"/>
      </w:tblPr>
      <w:tblGrid>
        <w:gridCol w:w="1701"/>
        <w:gridCol w:w="7479"/>
      </w:tblGrid>
      <w:tr w:rsidRPr="00792ABA" w:rsidR="009B199C" w:rsidTr="00A3780E" w14:paraId="5BC5C730" w14:textId="77777777">
        <w:tc>
          <w:tcPr>
            <w:tcW w:w="1701" w:type="dxa"/>
          </w:tcPr>
          <w:p w:rsidRPr="00792ABA" w:rsidR="009B199C" w:rsidP="00BE1F8F" w:rsidRDefault="009B199C" w14:paraId="455C16FC" w14:textId="77777777">
            <w:pPr>
              <w:tabs>
                <w:tab w:val="center" w:pos="284"/>
              </w:tabs>
              <w:overflowPunct w:val="0"/>
              <w:autoSpaceDE w:val="0"/>
              <w:autoSpaceDN w:val="0"/>
              <w:adjustRightInd w:val="0"/>
              <w:ind w:left="266" w:hanging="266"/>
              <w:textAlignment w:val="baseline"/>
              <w:rPr>
                <w:b/>
              </w:rPr>
            </w:pPr>
            <w:r w:rsidRPr="00792ABA">
              <w:rPr>
                <w:b/>
              </w:rPr>
              <w:t>Rapporteur</w:t>
            </w:r>
          </w:p>
          <w:p w:rsidRPr="00792ABA" w:rsidR="009B199C" w:rsidP="00BE1F8F" w:rsidRDefault="009B199C" w14:paraId="78EA9397" w14:textId="77777777">
            <w:pPr>
              <w:tabs>
                <w:tab w:val="center" w:pos="284"/>
              </w:tabs>
              <w:overflowPunct w:val="0"/>
              <w:autoSpaceDE w:val="0"/>
              <w:autoSpaceDN w:val="0"/>
              <w:adjustRightInd w:val="0"/>
              <w:ind w:left="266" w:hanging="266"/>
              <w:textAlignment w:val="baseline"/>
              <w:rPr>
                <w:b/>
              </w:rPr>
            </w:pPr>
            <w:r w:rsidRPr="00792ABA">
              <w:rPr>
                <w:b/>
              </w:rPr>
              <w:t>Co-rapporteur</w:t>
            </w:r>
          </w:p>
        </w:tc>
        <w:tc>
          <w:tcPr>
            <w:tcW w:w="7479" w:type="dxa"/>
          </w:tcPr>
          <w:p w:rsidRPr="009B596B" w:rsidR="009B199C" w:rsidP="00BE1F8F" w:rsidRDefault="009B199C" w14:paraId="5A2D0416" w14:textId="40276D4D">
            <w:pPr>
              <w:tabs>
                <w:tab w:val="center" w:pos="284"/>
              </w:tabs>
              <w:overflowPunct w:val="0"/>
              <w:autoSpaceDE w:val="0"/>
              <w:autoSpaceDN w:val="0"/>
              <w:adjustRightInd w:val="0"/>
              <w:ind w:left="266" w:hanging="266"/>
              <w:textAlignment w:val="baseline"/>
            </w:pPr>
            <w:r w:rsidRPr="00792ABA">
              <w:rPr>
                <w:bCs/>
              </w:rPr>
              <w:t xml:space="preserve">David SVENTEK (Employers' </w:t>
            </w:r>
            <w:r w:rsidRPr="009B596B">
              <w:t xml:space="preserve">Group </w:t>
            </w:r>
            <w:r w:rsidRPr="009B596B" w:rsidR="005F41D0">
              <w:t>-</w:t>
            </w:r>
            <w:r w:rsidRPr="009B596B">
              <w:t xml:space="preserve"> CZ)</w:t>
            </w:r>
          </w:p>
          <w:p w:rsidRPr="00792ABA" w:rsidR="005F41D0" w:rsidP="00BE1F8F" w:rsidRDefault="009B199C" w14:paraId="0C02A021" w14:textId="4BEC0AEE">
            <w:pPr>
              <w:tabs>
                <w:tab w:val="center" w:pos="284"/>
              </w:tabs>
              <w:overflowPunct w:val="0"/>
              <w:autoSpaceDE w:val="0"/>
              <w:autoSpaceDN w:val="0"/>
              <w:adjustRightInd w:val="0"/>
              <w:ind w:left="266" w:hanging="266"/>
              <w:textAlignment w:val="baseline"/>
              <w:rPr>
                <w:bCs/>
              </w:rPr>
            </w:pPr>
            <w:r w:rsidRPr="00792ABA">
              <w:rPr>
                <w:bCs/>
              </w:rPr>
              <w:t xml:space="preserve">Florian MARIN (Workers' Group </w:t>
            </w:r>
            <w:r w:rsidR="00ED1DE3">
              <w:rPr>
                <w:b/>
                <w:bCs/>
                <w:i/>
                <w:iCs/>
                <w:lang w:val="en-GB"/>
              </w:rPr>
              <w:t>-</w:t>
            </w:r>
            <w:r w:rsidRPr="00792ABA">
              <w:rPr>
                <w:bCs/>
              </w:rPr>
              <w:t xml:space="preserve"> RO)</w:t>
            </w:r>
          </w:p>
        </w:tc>
      </w:tr>
      <w:tr w:rsidRPr="00792ABA" w:rsidR="009B199C" w:rsidTr="00A3780E" w14:paraId="4A10BF69" w14:textId="77777777">
        <w:tc>
          <w:tcPr>
            <w:tcW w:w="1701" w:type="dxa"/>
          </w:tcPr>
          <w:p w:rsidRPr="00792ABA" w:rsidR="009B199C" w:rsidP="00BE1F8F" w:rsidRDefault="009B199C" w14:paraId="4D7754ED" w14:textId="396C246D">
            <w:pPr>
              <w:tabs>
                <w:tab w:val="center" w:pos="284"/>
              </w:tabs>
              <w:overflowPunct w:val="0"/>
              <w:autoSpaceDE w:val="0"/>
              <w:autoSpaceDN w:val="0"/>
              <w:adjustRightInd w:val="0"/>
              <w:ind w:left="266" w:hanging="266"/>
              <w:textAlignment w:val="baseline"/>
              <w:rPr>
                <w:b/>
              </w:rPr>
            </w:pPr>
            <w:r w:rsidRPr="00792ABA">
              <w:rPr>
                <w:b/>
              </w:rPr>
              <w:t>Reference</w:t>
            </w:r>
          </w:p>
        </w:tc>
        <w:tc>
          <w:tcPr>
            <w:tcW w:w="7479" w:type="dxa"/>
          </w:tcPr>
          <w:p w:rsidRPr="00792ABA" w:rsidR="009B199C" w:rsidP="00BE1F8F" w:rsidRDefault="009B199C" w14:paraId="7601F5CA" w14:textId="00E8D08D">
            <w:pPr>
              <w:overflowPunct w:val="0"/>
              <w:autoSpaceDE w:val="0"/>
              <w:autoSpaceDN w:val="0"/>
              <w:adjustRightInd w:val="0"/>
              <w:ind w:left="266" w:hanging="266"/>
              <w:textAlignment w:val="baseline"/>
              <w:rPr>
                <w:lang w:val="en-GB"/>
              </w:rPr>
            </w:pPr>
            <w:r w:rsidRPr="00792ABA">
              <w:rPr>
                <w:lang w:val="en-GB"/>
              </w:rPr>
              <w:t>Exploratory opinion request</w:t>
            </w:r>
            <w:r w:rsidR="00ED1DE3">
              <w:rPr>
                <w:lang w:val="en-GB"/>
              </w:rPr>
              <w:t>ed by</w:t>
            </w:r>
            <w:r w:rsidRPr="00792ABA">
              <w:rPr>
                <w:lang w:val="en-GB"/>
              </w:rPr>
              <w:t xml:space="preserve"> the Polish Presidency</w:t>
            </w:r>
            <w:r w:rsidR="00ED1DE3">
              <w:rPr>
                <w:lang w:val="en-GB"/>
              </w:rPr>
              <w:t xml:space="preserve"> of the Council of the EU</w:t>
            </w:r>
          </w:p>
          <w:p w:rsidRPr="00792ABA" w:rsidR="009B199C" w:rsidP="00BE1F8F" w:rsidRDefault="009B199C" w14:paraId="443F4397" w14:textId="7E955EB3">
            <w:pPr>
              <w:overflowPunct w:val="0"/>
              <w:autoSpaceDE w:val="0"/>
              <w:autoSpaceDN w:val="0"/>
              <w:adjustRightInd w:val="0"/>
              <w:ind w:left="266" w:hanging="266"/>
              <w:textAlignment w:val="baseline"/>
            </w:pPr>
            <w:r w:rsidRPr="00792ABA">
              <w:rPr>
                <w:lang w:val="en-GB"/>
              </w:rPr>
              <w:t>EESC-2024-03481-00-00-AC</w:t>
            </w:r>
          </w:p>
        </w:tc>
      </w:tr>
    </w:tbl>
    <w:p w:rsidRPr="00C43D3E" w:rsidR="009B199C" w:rsidP="00BE1F8F" w:rsidRDefault="009B199C" w14:paraId="7F8C0AE3" w14:textId="77777777">
      <w:pPr>
        <w:keepNext/>
        <w:keepLines/>
        <w:tabs>
          <w:tab w:val="center" w:pos="284"/>
        </w:tabs>
        <w:overflowPunct w:val="0"/>
        <w:autoSpaceDE w:val="0"/>
        <w:autoSpaceDN w:val="0"/>
        <w:adjustRightInd w:val="0"/>
        <w:ind w:left="266" w:hanging="266"/>
        <w:textAlignment w:val="baseline"/>
        <w:rPr>
          <w:b/>
          <w:sz w:val="16"/>
          <w:szCs w:val="16"/>
          <w:lang w:val="en-GB"/>
        </w:rPr>
      </w:pPr>
    </w:p>
    <w:p w:rsidRPr="00792ABA" w:rsidR="009B199C" w:rsidP="00BE1F8F" w:rsidRDefault="009B199C" w14:paraId="3A8AAE4F" w14:textId="77777777">
      <w:pPr>
        <w:keepNext/>
        <w:keepLines/>
        <w:tabs>
          <w:tab w:val="center" w:pos="284"/>
        </w:tabs>
        <w:overflowPunct w:val="0"/>
        <w:autoSpaceDE w:val="0"/>
        <w:autoSpaceDN w:val="0"/>
        <w:adjustRightInd w:val="0"/>
        <w:ind w:left="266" w:hanging="266"/>
        <w:textAlignment w:val="baseline"/>
        <w:rPr>
          <w:b/>
          <w:lang w:val="en-GB"/>
        </w:rPr>
      </w:pPr>
      <w:r w:rsidRPr="00792ABA">
        <w:rPr>
          <w:b/>
          <w:lang w:val="en-GB"/>
        </w:rPr>
        <w:t>Key points</w:t>
      </w:r>
    </w:p>
    <w:p w:rsidRPr="00C43D3E" w:rsidR="009B199C" w:rsidP="00BE1F8F" w:rsidRDefault="009B199C" w14:paraId="754DF2AC" w14:textId="77777777">
      <w:pPr>
        <w:keepNext/>
        <w:keepLines/>
        <w:tabs>
          <w:tab w:val="center" w:pos="284"/>
        </w:tabs>
        <w:overflowPunct w:val="0"/>
        <w:autoSpaceDE w:val="0"/>
        <w:autoSpaceDN w:val="0"/>
        <w:adjustRightInd w:val="0"/>
        <w:ind w:left="266" w:hanging="266"/>
        <w:textAlignment w:val="baseline"/>
        <w:rPr>
          <w:b/>
          <w:sz w:val="16"/>
          <w:szCs w:val="16"/>
          <w:lang w:val="en-GB"/>
        </w:rPr>
      </w:pPr>
    </w:p>
    <w:p w:rsidR="009B199C" w:rsidP="00BE1F8F" w:rsidRDefault="009B199C" w14:paraId="4A63B8DB" w14:textId="77777777">
      <w:pPr>
        <w:keepNext/>
        <w:keepLines/>
        <w:tabs>
          <w:tab w:val="center" w:pos="284"/>
        </w:tabs>
        <w:overflowPunct w:val="0"/>
        <w:autoSpaceDE w:val="0"/>
        <w:autoSpaceDN w:val="0"/>
        <w:adjustRightInd w:val="0"/>
        <w:ind w:left="266" w:hanging="266"/>
        <w:textAlignment w:val="baseline"/>
        <w:rPr>
          <w:bCs/>
          <w:iCs/>
          <w:szCs w:val="20"/>
          <w:lang w:val="en-GB"/>
        </w:rPr>
      </w:pPr>
      <w:r w:rsidRPr="00792ABA">
        <w:rPr>
          <w:bCs/>
          <w:iCs/>
          <w:szCs w:val="20"/>
          <w:lang w:val="en-GB"/>
        </w:rPr>
        <w:t>The EESC:</w:t>
      </w:r>
    </w:p>
    <w:p w:rsidRPr="00792ABA" w:rsidR="009B199C" w:rsidP="00BE1F8F" w:rsidRDefault="009B199C" w14:paraId="6EB77383" w14:textId="77777777">
      <w:pPr>
        <w:keepNext/>
        <w:keepLines/>
        <w:numPr>
          <w:ilvl w:val="0"/>
          <w:numId w:val="22"/>
        </w:numPr>
        <w:overflowPunct w:val="0"/>
        <w:autoSpaceDE w:val="0"/>
        <w:autoSpaceDN w:val="0"/>
        <w:adjustRightInd w:val="0"/>
        <w:ind w:left="284" w:hanging="284"/>
        <w:contextualSpacing/>
        <w:textAlignment w:val="baseline"/>
        <w:rPr>
          <w:bCs/>
          <w:iCs/>
          <w:lang w:val="en-GB" w:eastAsia="zh-CN"/>
        </w:rPr>
      </w:pPr>
      <w:r w:rsidRPr="00792ABA">
        <w:rPr>
          <w:bCs/>
          <w:iCs/>
          <w:lang w:val="en-GB" w:eastAsia="zh-CN"/>
        </w:rPr>
        <w:t>strongly supports the continuation of EU cohesion policy, deeming the reasons behind it to be clear, rational and legitimate. On the other hand, it recognises that cohesion policy has to be modernised and adjusted, reflecting development trends and needs;</w:t>
      </w:r>
    </w:p>
    <w:p w:rsidRPr="00792ABA" w:rsidR="009B199C" w:rsidP="00BE1F8F" w:rsidRDefault="009B199C" w14:paraId="0ED74D26" w14:textId="77777777">
      <w:pPr>
        <w:keepNext/>
        <w:keepLines/>
        <w:numPr>
          <w:ilvl w:val="0"/>
          <w:numId w:val="22"/>
        </w:numPr>
        <w:overflowPunct w:val="0"/>
        <w:autoSpaceDE w:val="0"/>
        <w:autoSpaceDN w:val="0"/>
        <w:adjustRightInd w:val="0"/>
        <w:ind w:left="284" w:hanging="284"/>
        <w:contextualSpacing/>
        <w:textAlignment w:val="baseline"/>
        <w:rPr>
          <w:rFonts w:ascii="Calibri" w:hAnsi="Calibri"/>
          <w:bCs/>
          <w:iCs/>
          <w:lang w:val="en-GB" w:eastAsia="zh-CN"/>
        </w:rPr>
      </w:pPr>
      <w:r w:rsidRPr="00792ABA">
        <w:rPr>
          <w:bCs/>
          <w:iCs/>
          <w:lang w:val="en-GB" w:eastAsia="zh-CN"/>
        </w:rPr>
        <w:t>believes that the existing share of the EU budget for cohesion policy should not be reduced in the next MMF, but instead it should be increased;</w:t>
      </w:r>
    </w:p>
    <w:p w:rsidRPr="00792ABA" w:rsidR="009B199C" w:rsidP="00BE1F8F" w:rsidRDefault="009B199C" w14:paraId="74B75549" w14:textId="77777777">
      <w:pPr>
        <w:numPr>
          <w:ilvl w:val="0"/>
          <w:numId w:val="22"/>
        </w:numPr>
        <w:overflowPunct w:val="0"/>
        <w:autoSpaceDE w:val="0"/>
        <w:autoSpaceDN w:val="0"/>
        <w:adjustRightInd w:val="0"/>
        <w:ind w:left="284" w:hanging="284"/>
        <w:contextualSpacing/>
        <w:textAlignment w:val="baseline"/>
        <w:rPr>
          <w:bCs/>
          <w:iCs/>
          <w:lang w:val="en-GB" w:eastAsia="zh-CN"/>
        </w:rPr>
      </w:pPr>
      <w:r w:rsidRPr="00792ABA">
        <w:rPr>
          <w:bCs/>
          <w:iCs/>
          <w:lang w:val="en-GB" w:eastAsia="zh-CN"/>
        </w:rPr>
        <w:t>recommends managing cohesion policy in future according to the following principles: partnership (including the active contribution of organised civil society); shared management (balanced participation among EU, national and regional authorities); multi-level governance (including regions, cities, local authorities and stakeholders); place-based approach (implementing a bottom-up approach); thematic concentration (being interlinked via the process of the European Semester); territorial targeting (also based on the regional specificities); result orientation (that there are real and quantified benefits); simplification (of the rules and procedures) and social conditionalities for the investments financed;</w:t>
      </w:r>
    </w:p>
    <w:p w:rsidRPr="00792ABA" w:rsidR="009B199C" w:rsidP="00BE1F8F" w:rsidRDefault="009B199C" w14:paraId="384FD159" w14:textId="77777777">
      <w:pPr>
        <w:numPr>
          <w:ilvl w:val="0"/>
          <w:numId w:val="22"/>
        </w:numPr>
        <w:overflowPunct w:val="0"/>
        <w:autoSpaceDE w:val="0"/>
        <w:autoSpaceDN w:val="0"/>
        <w:adjustRightInd w:val="0"/>
        <w:ind w:left="284" w:hanging="284"/>
        <w:contextualSpacing/>
        <w:textAlignment w:val="baseline"/>
        <w:rPr>
          <w:bCs/>
          <w:iCs/>
          <w:lang w:val="en-GB" w:eastAsia="zh-CN"/>
        </w:rPr>
      </w:pPr>
      <w:r w:rsidRPr="00792ABA">
        <w:rPr>
          <w:bCs/>
          <w:iCs/>
          <w:lang w:val="en-GB" w:eastAsia="zh-CN"/>
        </w:rPr>
        <w:t>believes that in a future, result-oriented cohesion policy, geopolitical challenges should be clearly considered, investment in capacity building is needed and the partnership principle is consolidated;</w:t>
      </w:r>
    </w:p>
    <w:p w:rsidRPr="00792ABA" w:rsidR="009B199C" w:rsidP="00BE1F8F" w:rsidRDefault="009B199C" w14:paraId="691F18AC" w14:textId="77777777">
      <w:pPr>
        <w:numPr>
          <w:ilvl w:val="0"/>
          <w:numId w:val="22"/>
        </w:numPr>
        <w:overflowPunct w:val="0"/>
        <w:autoSpaceDE w:val="0"/>
        <w:autoSpaceDN w:val="0"/>
        <w:adjustRightInd w:val="0"/>
        <w:ind w:left="284" w:hanging="284"/>
        <w:contextualSpacing/>
        <w:textAlignment w:val="baseline"/>
        <w:rPr>
          <w:bCs/>
          <w:iCs/>
          <w:lang w:val="en-GB" w:eastAsia="zh-CN"/>
        </w:rPr>
      </w:pPr>
      <w:r w:rsidRPr="00792ABA">
        <w:rPr>
          <w:bCs/>
          <w:iCs/>
          <w:lang w:val="en-GB" w:eastAsia="zh-CN"/>
        </w:rPr>
        <w:t>stresses that making a result-based approach a core principle will contribute to a more efficient allocation of limited cohesion policy resources and bring visible and transparent benefits;</w:t>
      </w:r>
    </w:p>
    <w:p w:rsidRPr="00792ABA" w:rsidR="009B199C" w:rsidP="00BE1F8F" w:rsidRDefault="009B199C" w14:paraId="69027A6A" w14:textId="77777777">
      <w:pPr>
        <w:numPr>
          <w:ilvl w:val="0"/>
          <w:numId w:val="22"/>
        </w:numPr>
        <w:overflowPunct w:val="0"/>
        <w:autoSpaceDE w:val="0"/>
        <w:autoSpaceDN w:val="0"/>
        <w:adjustRightInd w:val="0"/>
        <w:ind w:left="284" w:hanging="284"/>
        <w:contextualSpacing/>
        <w:textAlignment w:val="baseline"/>
        <w:rPr>
          <w:bCs/>
          <w:iCs/>
          <w:lang w:val="en-GB" w:eastAsia="zh-CN"/>
        </w:rPr>
      </w:pPr>
      <w:r w:rsidRPr="00792ABA">
        <w:rPr>
          <w:bCs/>
          <w:iCs/>
          <w:lang w:val="en-GB" w:eastAsia="zh-CN"/>
        </w:rPr>
        <w:t>believes that the obligations arising from the introduction of a results-based approach should not be added to the existing control and audit processes for verifying the effectiveness, efficiency and economy of expenditure on projects financed by cohesion funds;</w:t>
      </w:r>
    </w:p>
    <w:p w:rsidRPr="00792ABA" w:rsidR="009B199C" w:rsidP="00BE1F8F" w:rsidRDefault="009B199C" w14:paraId="1F1F1EFC" w14:textId="77777777">
      <w:pPr>
        <w:numPr>
          <w:ilvl w:val="0"/>
          <w:numId w:val="22"/>
        </w:numPr>
        <w:overflowPunct w:val="0"/>
        <w:autoSpaceDE w:val="0"/>
        <w:autoSpaceDN w:val="0"/>
        <w:adjustRightInd w:val="0"/>
        <w:ind w:left="284" w:hanging="284"/>
        <w:contextualSpacing/>
        <w:textAlignment w:val="baseline"/>
        <w:rPr>
          <w:bCs/>
          <w:iCs/>
          <w:lang w:val="en-GB" w:eastAsia="zh-CN"/>
        </w:rPr>
      </w:pPr>
      <w:r w:rsidRPr="00792ABA">
        <w:rPr>
          <w:bCs/>
          <w:iCs/>
          <w:lang w:val="en-GB" w:eastAsia="zh-CN"/>
        </w:rPr>
        <w:t>is deeply convinced that, despite all the necessary changes to cohesion policy’s content and orientation, the core of the policy must remain regions and their specific development and resilience needs, while also seeking to reduce inequalities;</w:t>
      </w:r>
    </w:p>
    <w:p w:rsidRPr="00792ABA" w:rsidR="009B199C" w:rsidP="00BE1F8F" w:rsidRDefault="009B199C" w14:paraId="07F4614C" w14:textId="77777777">
      <w:pPr>
        <w:numPr>
          <w:ilvl w:val="0"/>
          <w:numId w:val="22"/>
        </w:numPr>
        <w:overflowPunct w:val="0"/>
        <w:autoSpaceDE w:val="0"/>
        <w:autoSpaceDN w:val="0"/>
        <w:adjustRightInd w:val="0"/>
        <w:ind w:left="284" w:hanging="284"/>
        <w:contextualSpacing/>
        <w:textAlignment w:val="baseline"/>
        <w:rPr>
          <w:bCs/>
          <w:iCs/>
          <w:lang w:val="en-GB" w:eastAsia="zh-CN"/>
        </w:rPr>
      </w:pPr>
      <w:r w:rsidRPr="00792ABA">
        <w:rPr>
          <w:bCs/>
          <w:iCs/>
          <w:lang w:val="en-GB" w:eastAsia="zh-CN"/>
        </w:rPr>
        <w:t xml:space="preserve">believes that more attention should be paid to social investments, including housing, as structural ingredients for territorial development, to access to quality public services and to demographic challenges; </w:t>
      </w:r>
    </w:p>
    <w:p w:rsidRPr="00792ABA" w:rsidR="009B199C" w:rsidP="00BE1F8F" w:rsidRDefault="009B199C" w14:paraId="4545597B" w14:textId="77777777">
      <w:pPr>
        <w:numPr>
          <w:ilvl w:val="0"/>
          <w:numId w:val="22"/>
        </w:numPr>
        <w:overflowPunct w:val="0"/>
        <w:autoSpaceDE w:val="0"/>
        <w:autoSpaceDN w:val="0"/>
        <w:adjustRightInd w:val="0"/>
        <w:ind w:left="284" w:hanging="284"/>
        <w:contextualSpacing/>
        <w:textAlignment w:val="baseline"/>
        <w:rPr>
          <w:bCs/>
          <w:iCs/>
          <w:lang w:val="en-GB" w:eastAsia="zh-CN"/>
        </w:rPr>
      </w:pPr>
      <w:r w:rsidRPr="00792ABA">
        <w:rPr>
          <w:bCs/>
          <w:iCs/>
          <w:lang w:val="en-GB" w:eastAsia="zh-CN"/>
        </w:rPr>
        <w:t>recommends creating a transparent policy environment with a clearly defined position for specific stakeholders, including representatives of organised civil society;</w:t>
      </w:r>
    </w:p>
    <w:p w:rsidRPr="00C43D3E" w:rsidR="009B199C" w:rsidP="00BE1F8F" w:rsidRDefault="009B199C" w14:paraId="1086985B" w14:textId="77777777">
      <w:pPr>
        <w:numPr>
          <w:ilvl w:val="0"/>
          <w:numId w:val="22"/>
        </w:numPr>
        <w:overflowPunct w:val="0"/>
        <w:autoSpaceDE w:val="0"/>
        <w:autoSpaceDN w:val="0"/>
        <w:adjustRightInd w:val="0"/>
        <w:ind w:left="284" w:hanging="284"/>
        <w:contextualSpacing/>
        <w:textAlignment w:val="baseline"/>
        <w:rPr>
          <w:bCs/>
          <w:iCs/>
          <w:spacing w:val="-2"/>
          <w:lang w:val="en-GB" w:eastAsia="zh-CN"/>
        </w:rPr>
      </w:pPr>
      <w:r w:rsidRPr="00C43D3E">
        <w:rPr>
          <w:bCs/>
          <w:iCs/>
          <w:spacing w:val="-2"/>
          <w:lang w:val="en-GB" w:eastAsia="zh-CN"/>
        </w:rPr>
        <w:t>is aware of the system’s complexity, which needs to be greatly simplified and made more transparent;</w:t>
      </w:r>
    </w:p>
    <w:p w:rsidRPr="00792ABA" w:rsidR="009B199C" w:rsidP="00BE1F8F" w:rsidRDefault="009B199C" w14:paraId="168F9847" w14:textId="77777777">
      <w:pPr>
        <w:numPr>
          <w:ilvl w:val="0"/>
          <w:numId w:val="22"/>
        </w:numPr>
        <w:overflowPunct w:val="0"/>
        <w:autoSpaceDE w:val="0"/>
        <w:autoSpaceDN w:val="0"/>
        <w:adjustRightInd w:val="0"/>
        <w:ind w:left="284" w:hanging="284"/>
        <w:contextualSpacing/>
        <w:textAlignment w:val="baseline"/>
        <w:rPr>
          <w:rFonts w:ascii="Calibri" w:hAnsi="Calibri"/>
          <w:bCs/>
          <w:iCs/>
          <w:lang w:val="en-GB" w:eastAsia="zh-CN"/>
        </w:rPr>
      </w:pPr>
      <w:r w:rsidRPr="00792ABA">
        <w:rPr>
          <w:bCs/>
          <w:iCs/>
          <w:lang w:val="en-GB" w:eastAsia="zh-CN"/>
        </w:rPr>
        <w:t>underlines that, especially in the current and upcoming period of economic and social development in the EU, convergence and sustainable competitiveness are not contradictory.</w:t>
      </w:r>
    </w:p>
    <w:p w:rsidR="009B199C" w:rsidP="00BE1F8F" w:rsidRDefault="009B199C" w14:paraId="1DD19EA2" w14:textId="66A2333D">
      <w:pPr>
        <w:ind w:left="360"/>
        <w:contextualSpacing/>
        <w:rPr>
          <w:rFonts w:ascii="Calibri" w:hAnsi="Calibri"/>
          <w:bCs/>
          <w:iCs/>
          <w:sz w:val="16"/>
          <w:szCs w:val="16"/>
          <w:lang w:val="en-GB" w:eastAsia="zh-CN"/>
        </w:rPr>
      </w:pPr>
    </w:p>
    <w:tbl>
      <w:tblPr>
        <w:tblW w:w="9322" w:type="dxa"/>
        <w:tblLook w:val="04A0" w:firstRow="1" w:lastRow="0" w:firstColumn="1" w:lastColumn="0" w:noHBand="0" w:noVBand="1"/>
      </w:tblPr>
      <w:tblGrid>
        <w:gridCol w:w="1668"/>
        <w:gridCol w:w="7654"/>
      </w:tblGrid>
      <w:tr w:rsidRPr="00792ABA" w:rsidR="00E14D8E" w:rsidTr="00BE1F8F" w14:paraId="6547EFA9" w14:textId="77777777">
        <w:tc>
          <w:tcPr>
            <w:tcW w:w="1668" w:type="dxa"/>
          </w:tcPr>
          <w:p w:rsidRPr="00792ABA" w:rsidR="00E14D8E" w:rsidP="00BE1F8F" w:rsidRDefault="00E14D8E" w14:paraId="4258610F" w14:textId="77777777">
            <w:pPr>
              <w:overflowPunct w:val="0"/>
              <w:autoSpaceDE w:val="0"/>
              <w:autoSpaceDN w:val="0"/>
              <w:adjustRightInd w:val="0"/>
              <w:textAlignment w:val="baseline"/>
              <w:rPr>
                <w:i/>
              </w:rPr>
            </w:pPr>
            <w:r w:rsidRPr="00792ABA">
              <w:rPr>
                <w:b/>
                <w:i/>
              </w:rPr>
              <w:t>Contact</w:t>
            </w:r>
          </w:p>
        </w:tc>
        <w:tc>
          <w:tcPr>
            <w:tcW w:w="7654" w:type="dxa"/>
          </w:tcPr>
          <w:p w:rsidRPr="00792ABA" w:rsidR="00E14D8E" w:rsidP="00BE1F8F" w:rsidRDefault="00E14D8E" w14:paraId="5390638D" w14:textId="77777777">
            <w:pPr>
              <w:overflowPunct w:val="0"/>
              <w:autoSpaceDE w:val="0"/>
              <w:autoSpaceDN w:val="0"/>
              <w:adjustRightInd w:val="0"/>
              <w:textAlignment w:val="baseline"/>
              <w:rPr>
                <w:i/>
              </w:rPr>
            </w:pPr>
            <w:r w:rsidRPr="00792ABA">
              <w:rPr>
                <w:i/>
              </w:rPr>
              <w:t>Georgios MELEAS</w:t>
            </w:r>
          </w:p>
        </w:tc>
      </w:tr>
      <w:tr w:rsidRPr="00792ABA" w:rsidR="00E14D8E" w:rsidTr="00BE1F8F" w14:paraId="5F576F6C" w14:textId="77777777">
        <w:tc>
          <w:tcPr>
            <w:tcW w:w="1668" w:type="dxa"/>
          </w:tcPr>
          <w:p w:rsidRPr="00792ABA" w:rsidR="00E14D8E" w:rsidP="00BE1F8F" w:rsidRDefault="00E14D8E" w14:paraId="13C225A0" w14:textId="77777777">
            <w:pPr>
              <w:overflowPunct w:val="0"/>
              <w:autoSpaceDE w:val="0"/>
              <w:autoSpaceDN w:val="0"/>
              <w:adjustRightInd w:val="0"/>
              <w:textAlignment w:val="baseline"/>
              <w:rPr>
                <w:i/>
              </w:rPr>
            </w:pPr>
            <w:r w:rsidRPr="00792ABA">
              <w:rPr>
                <w:i/>
              </w:rPr>
              <w:t>Tel.</w:t>
            </w:r>
          </w:p>
        </w:tc>
        <w:tc>
          <w:tcPr>
            <w:tcW w:w="7654" w:type="dxa"/>
          </w:tcPr>
          <w:p w:rsidRPr="00792ABA" w:rsidR="00E14D8E" w:rsidP="00BE1F8F" w:rsidRDefault="00E14D8E" w14:paraId="1A2A2EF0" w14:textId="77777777">
            <w:pPr>
              <w:overflowPunct w:val="0"/>
              <w:autoSpaceDE w:val="0"/>
              <w:autoSpaceDN w:val="0"/>
              <w:adjustRightInd w:val="0"/>
              <w:textAlignment w:val="baseline"/>
              <w:rPr>
                <w:i/>
              </w:rPr>
            </w:pPr>
            <w:r w:rsidRPr="00792ABA">
              <w:rPr>
                <w:i/>
                <w:lang w:val="fr-BE"/>
              </w:rPr>
              <w:t>+32 2 5469795</w:t>
            </w:r>
          </w:p>
        </w:tc>
      </w:tr>
      <w:tr w:rsidRPr="00792ABA" w:rsidR="00E14D8E" w:rsidTr="00BE1F8F" w14:paraId="243EA6DE" w14:textId="77777777">
        <w:tc>
          <w:tcPr>
            <w:tcW w:w="1668" w:type="dxa"/>
          </w:tcPr>
          <w:p w:rsidRPr="00792ABA" w:rsidR="00E14D8E" w:rsidP="00BE1F8F" w:rsidRDefault="00E14D8E" w14:paraId="385A71F4" w14:textId="77777777">
            <w:pPr>
              <w:overflowPunct w:val="0"/>
              <w:autoSpaceDE w:val="0"/>
              <w:autoSpaceDN w:val="0"/>
              <w:adjustRightInd w:val="0"/>
              <w:textAlignment w:val="baseline"/>
              <w:rPr>
                <w:i/>
              </w:rPr>
            </w:pPr>
            <w:r>
              <w:rPr>
                <w:i/>
              </w:rPr>
              <w:t>E</w:t>
            </w:r>
            <w:r w:rsidRPr="00792ABA">
              <w:rPr>
                <w:i/>
              </w:rPr>
              <w:t>mail</w:t>
            </w:r>
          </w:p>
        </w:tc>
        <w:tc>
          <w:tcPr>
            <w:tcW w:w="7654" w:type="dxa"/>
          </w:tcPr>
          <w:p w:rsidRPr="00792ABA" w:rsidR="00E14D8E" w:rsidP="00BE1F8F" w:rsidRDefault="002C4029" w14:paraId="00D270D1" w14:textId="77777777">
            <w:pPr>
              <w:overflowPunct w:val="0"/>
              <w:autoSpaceDE w:val="0"/>
              <w:autoSpaceDN w:val="0"/>
              <w:adjustRightInd w:val="0"/>
              <w:textAlignment w:val="baseline"/>
              <w:rPr>
                <w:i/>
                <w:iCs/>
              </w:rPr>
            </w:pPr>
            <w:hyperlink w:history="1" r:id="rId28">
              <w:r w:rsidRPr="00792ABA" w:rsidR="00E14D8E">
                <w:rPr>
                  <w:i/>
                  <w:iCs/>
                  <w:color w:val="0000FF"/>
                  <w:u w:val="single"/>
                  <w:lang w:val="en-GB"/>
                </w:rPr>
                <w:t>G</w:t>
              </w:r>
              <w:r w:rsidRPr="00792ABA" w:rsidR="00E14D8E">
                <w:rPr>
                  <w:i/>
                  <w:iCs/>
                  <w:color w:val="0000FF"/>
                  <w:u w:val="single"/>
                </w:rPr>
                <w:t>eorgios.Meleas@eesc.europa.eu</w:t>
              </w:r>
            </w:hyperlink>
          </w:p>
        </w:tc>
      </w:tr>
    </w:tbl>
    <w:p w:rsidR="00E14D8E" w:rsidP="00BE1F8F" w:rsidRDefault="00E14D8E" w14:paraId="14382163" w14:textId="77777777">
      <w:pPr>
        <w:jc w:val="left"/>
        <w:rPr>
          <w:rFonts w:ascii="Calibri" w:hAnsi="Calibri"/>
          <w:bCs/>
          <w:iCs/>
          <w:sz w:val="16"/>
          <w:szCs w:val="16"/>
          <w:lang w:val="en-GB" w:eastAsia="zh-CN"/>
        </w:rPr>
      </w:pPr>
      <w:r>
        <w:rPr>
          <w:rFonts w:ascii="Calibri" w:hAnsi="Calibri"/>
          <w:bCs/>
          <w:iCs/>
          <w:sz w:val="16"/>
          <w:szCs w:val="16"/>
          <w:lang w:val="en-GB" w:eastAsia="zh-CN"/>
        </w:rPr>
        <w:br w:type="page"/>
      </w:r>
    </w:p>
    <w:p w:rsidR="004D7AC0" w:rsidP="00BE1F8F" w:rsidRDefault="004D7AC0" w14:paraId="4982DD99" w14:textId="77777777">
      <w:pPr>
        <w:pStyle w:val="Heading1"/>
        <w:keepNext/>
        <w:keepLines/>
        <w:rPr>
          <w:b/>
        </w:rPr>
      </w:pPr>
      <w:bookmarkStart w:name="_Toc192059218" w:id="2"/>
      <w:bookmarkStart w:name="_Toc192059438" w:id="3"/>
      <w:bookmarkStart w:name="_Toc192060291" w:id="4"/>
      <w:bookmarkStart w:name="_Toc192060608" w:id="5"/>
      <w:bookmarkStart w:name="_Toc192059219" w:id="6"/>
      <w:bookmarkStart w:name="_Toc192059439" w:id="7"/>
      <w:bookmarkStart w:name="_Toc192060292" w:id="8"/>
      <w:bookmarkStart w:name="_Toc192060609" w:id="9"/>
      <w:bookmarkStart w:name="_Toc75527081" w:id="10"/>
      <w:bookmarkStart w:name="_Toc192668667" w:id="11"/>
      <w:bookmarkEnd w:id="2"/>
      <w:bookmarkEnd w:id="3"/>
      <w:bookmarkEnd w:id="4"/>
      <w:bookmarkEnd w:id="5"/>
      <w:bookmarkEnd w:id="6"/>
      <w:bookmarkEnd w:id="7"/>
      <w:bookmarkEnd w:id="8"/>
      <w:bookmarkEnd w:id="9"/>
      <w:r w:rsidRPr="001C70A5">
        <w:rPr>
          <w:rFonts w:eastAsiaTheme="minorEastAsia"/>
          <w:b/>
        </w:rPr>
        <w:t>EMPLOYMENT, SOCIAL AFFAIRS AND CITIZENSHIP</w:t>
      </w:r>
      <w:bookmarkEnd w:id="10"/>
      <w:bookmarkEnd w:id="11"/>
    </w:p>
    <w:p w:rsidR="004D7AC0" w:rsidP="00BE1F8F" w:rsidRDefault="004D7AC0" w14:paraId="4982DD9A" w14:textId="77777777">
      <w:pPr>
        <w:keepNext/>
        <w:keepLines/>
      </w:pPr>
    </w:p>
    <w:p w:rsidRPr="00B4456F" w:rsidR="005820A0" w:rsidP="00BE1F8F" w:rsidRDefault="002C4029" w14:paraId="1351645C" w14:textId="5889E847">
      <w:pPr>
        <w:widowControl w:val="0"/>
        <w:numPr>
          <w:ilvl w:val="0"/>
          <w:numId w:val="10"/>
        </w:numPr>
        <w:overflowPunct w:val="0"/>
        <w:autoSpaceDE w:val="0"/>
        <w:autoSpaceDN w:val="0"/>
        <w:adjustRightInd w:val="0"/>
        <w:ind w:left="567" w:hanging="567"/>
        <w:textAlignment w:val="baseline"/>
        <w:rPr>
          <w:sz w:val="24"/>
          <w:szCs w:val="24"/>
        </w:rPr>
      </w:pPr>
      <w:hyperlink w:history="1" r:id="rId29">
        <w:r w:rsidRPr="003348FA" w:rsidR="005820A0">
          <w:rPr>
            <w:rStyle w:val="Hyperlink"/>
            <w:b/>
            <w:bCs/>
            <w:i/>
            <w:iCs/>
            <w:sz w:val="28"/>
            <w:szCs w:val="28"/>
          </w:rPr>
          <w:t>Addressing loneliness: cementing measures for demographic cohesion</w:t>
        </w:r>
      </w:hyperlink>
    </w:p>
    <w:p w:rsidRPr="00B4456F" w:rsidR="005820A0" w:rsidP="00BE1F8F" w:rsidRDefault="005820A0" w14:paraId="3483E009" w14:textId="77777777">
      <w:pPr>
        <w:tabs>
          <w:tab w:val="center" w:pos="284"/>
        </w:tabs>
        <w:ind w:left="266" w:hanging="266"/>
        <w:rPr>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07"/>
        <w:gridCol w:w="7573"/>
      </w:tblGrid>
      <w:tr w:rsidRPr="00B4456F" w:rsidR="005820A0" w:rsidTr="00A3780E" w14:paraId="67BD490D" w14:textId="77777777">
        <w:tc>
          <w:tcPr>
            <w:tcW w:w="1607" w:type="dxa"/>
          </w:tcPr>
          <w:p w:rsidRPr="00C43D3E" w:rsidR="005820A0" w:rsidP="00BE1F8F" w:rsidRDefault="005820A0" w14:paraId="42367F1A" w14:textId="701C1F82">
            <w:pPr>
              <w:tabs>
                <w:tab w:val="center" w:pos="284"/>
              </w:tabs>
              <w:ind w:left="266" w:hanging="266"/>
              <w:rPr>
                <w:b/>
                <w:sz w:val="20"/>
                <w:szCs w:val="20"/>
              </w:rPr>
            </w:pPr>
            <w:r w:rsidRPr="00C43D3E">
              <w:rPr>
                <w:b/>
                <w:sz w:val="20"/>
                <w:szCs w:val="20"/>
              </w:rPr>
              <w:t>Rapporteur</w:t>
            </w:r>
          </w:p>
        </w:tc>
        <w:tc>
          <w:tcPr>
            <w:tcW w:w="7573" w:type="dxa"/>
          </w:tcPr>
          <w:p w:rsidRPr="00C43D3E" w:rsidR="005820A0" w:rsidP="00BE1F8F" w:rsidRDefault="005820A0" w14:paraId="3FB6ED60" w14:textId="3DA0CD80">
            <w:pPr>
              <w:tabs>
                <w:tab w:val="center" w:pos="284"/>
              </w:tabs>
              <w:ind w:left="266" w:hanging="266"/>
              <w:rPr>
                <w:sz w:val="20"/>
                <w:szCs w:val="20"/>
              </w:rPr>
            </w:pPr>
            <w:r w:rsidRPr="00C43D3E">
              <w:rPr>
                <w:sz w:val="20"/>
                <w:szCs w:val="20"/>
              </w:rPr>
              <w:t xml:space="preserve">Miguel Ángel CABRA DE LUNA (Civil Society Organisations' Group </w:t>
            </w:r>
            <w:r w:rsidRPr="00C43D3E" w:rsidR="00DF3CEF">
              <w:rPr>
                <w:sz w:val="20"/>
                <w:szCs w:val="20"/>
              </w:rPr>
              <w:t>-</w:t>
            </w:r>
            <w:r w:rsidRPr="00C43D3E">
              <w:rPr>
                <w:sz w:val="20"/>
                <w:szCs w:val="20"/>
              </w:rPr>
              <w:t xml:space="preserve"> ES)</w:t>
            </w:r>
          </w:p>
        </w:tc>
      </w:tr>
      <w:tr w:rsidRPr="00B4456F" w:rsidR="005820A0" w:rsidTr="00A3780E" w14:paraId="6076883C" w14:textId="77777777">
        <w:tc>
          <w:tcPr>
            <w:tcW w:w="1607" w:type="dxa"/>
            <w:vMerge w:val="restart"/>
          </w:tcPr>
          <w:p w:rsidRPr="00C43D3E" w:rsidR="005820A0" w:rsidP="00BE1F8F" w:rsidRDefault="005820A0" w14:paraId="544AEDE8" w14:textId="4C4437C3">
            <w:pPr>
              <w:tabs>
                <w:tab w:val="center" w:pos="284"/>
              </w:tabs>
              <w:ind w:left="266" w:hanging="266"/>
              <w:rPr>
                <w:b/>
                <w:sz w:val="20"/>
                <w:szCs w:val="20"/>
              </w:rPr>
            </w:pPr>
            <w:r w:rsidRPr="00C43D3E">
              <w:rPr>
                <w:b/>
                <w:sz w:val="20"/>
                <w:szCs w:val="20"/>
              </w:rPr>
              <w:t>Reference</w:t>
            </w:r>
          </w:p>
        </w:tc>
        <w:tc>
          <w:tcPr>
            <w:tcW w:w="7573" w:type="dxa"/>
          </w:tcPr>
          <w:p w:rsidRPr="00C43D3E" w:rsidR="005820A0" w:rsidP="00BE1F8F" w:rsidRDefault="005820A0" w14:paraId="5995BCBD" w14:textId="77777777">
            <w:pPr>
              <w:tabs>
                <w:tab w:val="center" w:pos="284"/>
              </w:tabs>
              <w:ind w:left="266" w:hanging="266"/>
              <w:rPr>
                <w:sz w:val="20"/>
                <w:szCs w:val="20"/>
              </w:rPr>
            </w:pPr>
            <w:r w:rsidRPr="00C43D3E">
              <w:rPr>
                <w:sz w:val="20"/>
                <w:szCs w:val="20"/>
              </w:rPr>
              <w:t>Own-initiative opinion</w:t>
            </w:r>
          </w:p>
        </w:tc>
      </w:tr>
      <w:tr w:rsidRPr="00B4456F" w:rsidR="005820A0" w:rsidTr="00A3780E" w14:paraId="4CBB60AE" w14:textId="77777777">
        <w:tc>
          <w:tcPr>
            <w:tcW w:w="1607" w:type="dxa"/>
            <w:vMerge/>
          </w:tcPr>
          <w:p w:rsidRPr="00C43D3E" w:rsidR="005820A0" w:rsidP="00BE1F8F" w:rsidRDefault="005820A0" w14:paraId="3E553D04" w14:textId="77777777">
            <w:pPr>
              <w:tabs>
                <w:tab w:val="center" w:pos="284"/>
              </w:tabs>
              <w:ind w:left="266" w:hanging="266"/>
              <w:rPr>
                <w:b/>
                <w:sz w:val="20"/>
                <w:szCs w:val="20"/>
              </w:rPr>
            </w:pPr>
          </w:p>
        </w:tc>
        <w:tc>
          <w:tcPr>
            <w:tcW w:w="7573" w:type="dxa"/>
          </w:tcPr>
          <w:p w:rsidRPr="00C43D3E" w:rsidR="005820A0" w:rsidP="00BE1F8F" w:rsidRDefault="005820A0" w14:paraId="67128669" w14:textId="77777777">
            <w:pPr>
              <w:tabs>
                <w:tab w:val="center" w:pos="284"/>
              </w:tabs>
              <w:ind w:left="266" w:hanging="266"/>
              <w:rPr>
                <w:sz w:val="20"/>
                <w:szCs w:val="20"/>
              </w:rPr>
            </w:pPr>
            <w:r w:rsidRPr="00C43D3E">
              <w:rPr>
                <w:sz w:val="20"/>
                <w:szCs w:val="20"/>
              </w:rPr>
              <w:t>EESC-2024-03264-00-00-AC</w:t>
            </w:r>
          </w:p>
        </w:tc>
      </w:tr>
    </w:tbl>
    <w:p w:rsidRPr="00B4456F" w:rsidR="005820A0" w:rsidP="00BE1F8F" w:rsidRDefault="005820A0" w14:paraId="4B78DAB0" w14:textId="77777777">
      <w:pPr>
        <w:tabs>
          <w:tab w:val="center" w:pos="284"/>
        </w:tabs>
        <w:ind w:left="266" w:hanging="266"/>
      </w:pPr>
    </w:p>
    <w:p w:rsidRPr="00B4456F" w:rsidR="005820A0" w:rsidP="00BE1F8F" w:rsidRDefault="005820A0" w14:paraId="766A65DB" w14:textId="77777777">
      <w:pPr>
        <w:keepNext/>
        <w:keepLines/>
        <w:tabs>
          <w:tab w:val="center" w:pos="284"/>
        </w:tabs>
        <w:ind w:left="266" w:hanging="266"/>
        <w:rPr>
          <w:b/>
        </w:rPr>
      </w:pPr>
      <w:r w:rsidRPr="00B4456F">
        <w:rPr>
          <w:b/>
        </w:rPr>
        <w:t>Key points:</w:t>
      </w:r>
    </w:p>
    <w:p w:rsidRPr="00B4456F" w:rsidR="005820A0" w:rsidP="00BE1F8F" w:rsidRDefault="005820A0" w14:paraId="6AD26D2E" w14:textId="77777777">
      <w:pPr>
        <w:keepNext/>
        <w:keepLines/>
        <w:tabs>
          <w:tab w:val="center" w:pos="284"/>
        </w:tabs>
        <w:ind w:left="266" w:hanging="266"/>
        <w:rPr>
          <w:b/>
        </w:rPr>
      </w:pPr>
    </w:p>
    <w:p w:rsidRPr="00B4456F" w:rsidR="005820A0" w:rsidP="00BE1F8F" w:rsidRDefault="005820A0" w14:paraId="25B369D6" w14:textId="77777777">
      <w:pPr>
        <w:rPr>
          <w:bCs/>
          <w:iCs/>
        </w:rPr>
      </w:pPr>
      <w:r w:rsidRPr="00B4456F">
        <w:rPr>
          <w:bCs/>
          <w:iCs/>
        </w:rPr>
        <w:t>The EESC</w:t>
      </w:r>
    </w:p>
    <w:p w:rsidRPr="00393DF5" w:rsidR="005820A0" w:rsidP="00BE1F8F" w:rsidRDefault="005820A0" w14:paraId="6EEFEE69" w14:textId="77777777">
      <w:pPr>
        <w:widowControl w:val="0"/>
        <w:numPr>
          <w:ilvl w:val="0"/>
          <w:numId w:val="23"/>
        </w:numPr>
        <w:overflowPunct w:val="0"/>
        <w:autoSpaceDE w:val="0"/>
        <w:autoSpaceDN w:val="0"/>
        <w:adjustRightInd w:val="0"/>
        <w:ind w:left="284" w:hanging="284"/>
        <w:textAlignment w:val="baseline"/>
      </w:pPr>
      <w:r w:rsidRPr="00393DF5">
        <w:t>calls on the Commission to adopt a European strategy addressing loneliness during its 2025-2029 term of office, which would consolidate knowledge on loneliness, analyse and assess existing measures, incorporate an intersectional approach, address the root causes of loneliness through a preventive approach, raise awareness and eliminate stigma, alleviate the pressure on health systems and mobilise financial support</w:t>
      </w:r>
      <w:r>
        <w:t>;</w:t>
      </w:r>
    </w:p>
    <w:p w:rsidRPr="00393DF5" w:rsidR="005820A0" w:rsidP="00BE1F8F" w:rsidRDefault="005820A0" w14:paraId="059A30C7" w14:textId="77777777">
      <w:pPr>
        <w:widowControl w:val="0"/>
        <w:numPr>
          <w:ilvl w:val="0"/>
          <w:numId w:val="23"/>
        </w:numPr>
        <w:overflowPunct w:val="0"/>
        <w:autoSpaceDE w:val="0"/>
        <w:autoSpaceDN w:val="0"/>
        <w:adjustRightInd w:val="0"/>
        <w:ind w:left="284" w:hanging="284"/>
        <w:textAlignment w:val="baseline"/>
      </w:pPr>
      <w:r w:rsidRPr="00393DF5">
        <w:t>highlights the fundamental role that civil society organisations play in the fight against loneliness, and recognises that the social partners can also contribute in this regard.</w:t>
      </w:r>
    </w:p>
    <w:p w:rsidRPr="00393DF5" w:rsidR="005820A0" w:rsidP="00BE1F8F" w:rsidRDefault="005820A0" w14:paraId="074DF4E0" w14:textId="77777777">
      <w:pPr>
        <w:widowControl w:val="0"/>
        <w:numPr>
          <w:ilvl w:val="0"/>
          <w:numId w:val="23"/>
        </w:numPr>
        <w:overflowPunct w:val="0"/>
        <w:autoSpaceDE w:val="0"/>
        <w:autoSpaceDN w:val="0"/>
        <w:adjustRightInd w:val="0"/>
        <w:ind w:left="284" w:hanging="284"/>
        <w:textAlignment w:val="baseline"/>
      </w:pPr>
      <w:r w:rsidRPr="00393DF5">
        <w:t>calls for specific measures against loneliness to be developed at EU level as part of the European strategy for older persons (opinion SOC/757) and the future European strategy for intergenerational equity (opinion SOC/800), including national plans</w:t>
      </w:r>
      <w:r>
        <w:t>;</w:t>
      </w:r>
    </w:p>
    <w:p w:rsidRPr="00393DF5" w:rsidR="005820A0" w:rsidP="00BE1F8F" w:rsidRDefault="005820A0" w14:paraId="54B7D9CA" w14:textId="77777777">
      <w:pPr>
        <w:widowControl w:val="0"/>
        <w:numPr>
          <w:ilvl w:val="0"/>
          <w:numId w:val="23"/>
        </w:numPr>
        <w:overflowPunct w:val="0"/>
        <w:autoSpaceDE w:val="0"/>
        <w:autoSpaceDN w:val="0"/>
        <w:adjustRightInd w:val="0"/>
        <w:ind w:left="284" w:hanging="284"/>
        <w:textAlignment w:val="baseline"/>
      </w:pPr>
      <w:r w:rsidRPr="00393DF5">
        <w:t>believes that Strategies should address loneliness at all stages of life, focusing on key life transition periods. They also need, high-level leadership and to involve all stakeholders concerned, including public administrations (in particular local authorities), organised civil society, social partners</w:t>
      </w:r>
      <w:r>
        <w:t xml:space="preserve">, the social economy </w:t>
      </w:r>
      <w:r w:rsidRPr="00393DF5">
        <w:t>and the media</w:t>
      </w:r>
      <w:r>
        <w:t>;</w:t>
      </w:r>
    </w:p>
    <w:p w:rsidRPr="00393DF5" w:rsidR="005820A0" w:rsidP="00BE1F8F" w:rsidRDefault="005820A0" w14:paraId="2C2AFEDD" w14:textId="77777777">
      <w:pPr>
        <w:widowControl w:val="0"/>
        <w:numPr>
          <w:ilvl w:val="0"/>
          <w:numId w:val="23"/>
        </w:numPr>
        <w:overflowPunct w:val="0"/>
        <w:autoSpaceDE w:val="0"/>
        <w:autoSpaceDN w:val="0"/>
        <w:adjustRightInd w:val="0"/>
        <w:ind w:left="284" w:hanging="284"/>
        <w:textAlignment w:val="baseline"/>
      </w:pPr>
      <w:r w:rsidRPr="00393DF5">
        <w:t>calls on the European Commission to continue the pilot project on loneliness, launched at the request of the European Parliament in 2022</w:t>
      </w:r>
      <w:r>
        <w:t>;</w:t>
      </w:r>
    </w:p>
    <w:p w:rsidRPr="00393DF5" w:rsidR="005820A0" w:rsidP="00BE1F8F" w:rsidRDefault="005820A0" w14:paraId="08802E05" w14:textId="77777777">
      <w:pPr>
        <w:widowControl w:val="0"/>
        <w:numPr>
          <w:ilvl w:val="0"/>
          <w:numId w:val="23"/>
        </w:numPr>
        <w:overflowPunct w:val="0"/>
        <w:autoSpaceDE w:val="0"/>
        <w:autoSpaceDN w:val="0"/>
        <w:adjustRightInd w:val="0"/>
        <w:ind w:left="284" w:hanging="284"/>
        <w:textAlignment w:val="baseline"/>
      </w:pPr>
      <w:r w:rsidRPr="00393DF5">
        <w:t>calls for the loneliness dimension to be included in the future Youth Check initiative</w:t>
      </w:r>
      <w:r>
        <w:t>;</w:t>
      </w:r>
    </w:p>
    <w:p w:rsidRPr="00393DF5" w:rsidR="005820A0" w:rsidP="00BE1F8F" w:rsidRDefault="005820A0" w14:paraId="38721F1A" w14:textId="77777777">
      <w:pPr>
        <w:widowControl w:val="0"/>
        <w:numPr>
          <w:ilvl w:val="0"/>
          <w:numId w:val="23"/>
        </w:numPr>
        <w:overflowPunct w:val="0"/>
        <w:autoSpaceDE w:val="0"/>
        <w:autoSpaceDN w:val="0"/>
        <w:adjustRightInd w:val="0"/>
        <w:ind w:left="284" w:hanging="284"/>
        <w:textAlignment w:val="baseline"/>
      </w:pPr>
      <w:r w:rsidRPr="00393DF5">
        <w:t>encourages the European Committee of the Regions to become involved in the proposed strategy.</w:t>
      </w:r>
    </w:p>
    <w:p w:rsidRPr="00B4456F" w:rsidR="005820A0" w:rsidP="00BE1F8F" w:rsidRDefault="005820A0" w14:paraId="0D200582" w14:textId="77777777">
      <w:pPr>
        <w:widowControl w:val="0"/>
        <w:ind w:left="709"/>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8"/>
        <w:gridCol w:w="7512"/>
      </w:tblGrid>
      <w:tr w:rsidRPr="00BE1F8F" w:rsidR="005820A0" w:rsidTr="00BE1F8F" w14:paraId="7592C7BE" w14:textId="77777777">
        <w:tc>
          <w:tcPr>
            <w:tcW w:w="1668" w:type="dxa"/>
          </w:tcPr>
          <w:p w:rsidRPr="00BE1F8F" w:rsidR="005820A0" w:rsidP="00BE1F8F" w:rsidRDefault="005820A0" w14:paraId="208016A2" w14:textId="5CF87BF1">
            <w:pPr>
              <w:rPr>
                <w:i/>
                <w:sz w:val="20"/>
                <w:szCs w:val="20"/>
              </w:rPr>
            </w:pPr>
            <w:r w:rsidRPr="00BE1F8F">
              <w:rPr>
                <w:b/>
                <w:i/>
                <w:sz w:val="20"/>
                <w:szCs w:val="20"/>
              </w:rPr>
              <w:t>Contact</w:t>
            </w:r>
          </w:p>
        </w:tc>
        <w:tc>
          <w:tcPr>
            <w:tcW w:w="7512" w:type="dxa"/>
          </w:tcPr>
          <w:p w:rsidRPr="00BE1F8F" w:rsidR="005820A0" w:rsidP="00BE1F8F" w:rsidRDefault="005820A0" w14:paraId="6CF1067D" w14:textId="712D966F">
            <w:pPr>
              <w:rPr>
                <w:i/>
                <w:sz w:val="20"/>
                <w:szCs w:val="20"/>
              </w:rPr>
            </w:pPr>
            <w:r w:rsidRPr="00BE1F8F">
              <w:rPr>
                <w:i/>
                <w:sz w:val="20"/>
                <w:szCs w:val="20"/>
              </w:rPr>
              <w:t>Valeria A</w:t>
            </w:r>
            <w:r w:rsidRPr="00BE1F8F" w:rsidR="00DF3CEF">
              <w:rPr>
                <w:i/>
                <w:sz w:val="20"/>
                <w:szCs w:val="20"/>
              </w:rPr>
              <w:t>tzori</w:t>
            </w:r>
          </w:p>
        </w:tc>
      </w:tr>
      <w:tr w:rsidRPr="00BE1F8F" w:rsidR="005820A0" w:rsidTr="00BE1F8F" w14:paraId="6C8121C6" w14:textId="77777777">
        <w:tc>
          <w:tcPr>
            <w:tcW w:w="1668" w:type="dxa"/>
          </w:tcPr>
          <w:p w:rsidRPr="00BE1F8F" w:rsidR="005820A0" w:rsidP="00BE1F8F" w:rsidRDefault="005820A0" w14:paraId="1B05B83D" w14:textId="43B7C197">
            <w:pPr>
              <w:rPr>
                <w:i/>
                <w:sz w:val="20"/>
                <w:szCs w:val="20"/>
              </w:rPr>
            </w:pPr>
            <w:r w:rsidRPr="00BE1F8F">
              <w:rPr>
                <w:i/>
                <w:sz w:val="20"/>
                <w:szCs w:val="20"/>
              </w:rPr>
              <w:t>Tel.</w:t>
            </w:r>
          </w:p>
        </w:tc>
        <w:tc>
          <w:tcPr>
            <w:tcW w:w="7512" w:type="dxa"/>
          </w:tcPr>
          <w:p w:rsidRPr="00BE1F8F" w:rsidR="005820A0" w:rsidP="00BE1F8F" w:rsidRDefault="005820A0" w14:paraId="4579CB82" w14:textId="77777777">
            <w:pPr>
              <w:rPr>
                <w:i/>
                <w:sz w:val="20"/>
                <w:szCs w:val="20"/>
              </w:rPr>
            </w:pPr>
            <w:r w:rsidRPr="00BE1F8F">
              <w:rPr>
                <w:i/>
                <w:sz w:val="20"/>
                <w:szCs w:val="20"/>
              </w:rPr>
              <w:t>+32 25468774</w:t>
            </w:r>
          </w:p>
        </w:tc>
      </w:tr>
      <w:tr w:rsidRPr="00BE1F8F" w:rsidR="005820A0" w:rsidTr="00BE1F8F" w14:paraId="7DF31CE8" w14:textId="77777777">
        <w:trPr>
          <w:trHeight w:val="285"/>
        </w:trPr>
        <w:tc>
          <w:tcPr>
            <w:tcW w:w="1668" w:type="dxa"/>
          </w:tcPr>
          <w:p w:rsidRPr="00BE1F8F" w:rsidR="005820A0" w:rsidP="00BE1F8F" w:rsidRDefault="005820A0" w14:paraId="30F9AA2F" w14:textId="7B8A8D0D">
            <w:pPr>
              <w:rPr>
                <w:i/>
                <w:sz w:val="20"/>
                <w:szCs w:val="20"/>
              </w:rPr>
            </w:pPr>
            <w:r w:rsidRPr="00BE1F8F">
              <w:rPr>
                <w:i/>
                <w:sz w:val="20"/>
                <w:szCs w:val="20"/>
              </w:rPr>
              <w:t>Email</w:t>
            </w:r>
          </w:p>
        </w:tc>
        <w:tc>
          <w:tcPr>
            <w:tcW w:w="7512" w:type="dxa"/>
          </w:tcPr>
          <w:p w:rsidRPr="00BE1F8F" w:rsidR="005820A0" w:rsidP="00BE1F8F" w:rsidRDefault="002C4029" w14:paraId="75028D49" w14:textId="77777777">
            <w:pPr>
              <w:rPr>
                <w:i/>
                <w:iCs/>
                <w:sz w:val="20"/>
                <w:szCs w:val="20"/>
              </w:rPr>
            </w:pPr>
            <w:hyperlink w:history="1" r:id="rId30">
              <w:r w:rsidRPr="00BE1F8F" w:rsidR="005820A0">
                <w:rPr>
                  <w:rStyle w:val="Hyperlink"/>
                  <w:i/>
                  <w:sz w:val="20"/>
                  <w:szCs w:val="20"/>
                </w:rPr>
                <w:t>Valeria.Atzori@eesc.europa.eu</w:t>
              </w:r>
            </w:hyperlink>
          </w:p>
        </w:tc>
      </w:tr>
    </w:tbl>
    <w:p w:rsidR="005820A0" w:rsidP="00BE1F8F" w:rsidRDefault="005820A0" w14:paraId="1C8B6452" w14:textId="77777777">
      <w:pPr>
        <w:jc w:val="left"/>
      </w:pPr>
    </w:p>
    <w:p w:rsidR="005820A0" w:rsidP="00BE1F8F" w:rsidRDefault="005820A0" w14:paraId="18575FDC" w14:textId="77777777">
      <w:pPr>
        <w:jc w:val="left"/>
      </w:pPr>
      <w:r>
        <w:br w:type="page"/>
      </w:r>
    </w:p>
    <w:p w:rsidRPr="00BE1F8F" w:rsidR="006D1DFA" w:rsidP="00BE1F8F" w:rsidRDefault="002C4029" w14:paraId="4A9CF9A9" w14:textId="0D522BB4">
      <w:pPr>
        <w:widowControl w:val="0"/>
        <w:numPr>
          <w:ilvl w:val="0"/>
          <w:numId w:val="3"/>
        </w:numPr>
        <w:overflowPunct w:val="0"/>
        <w:autoSpaceDE w:val="0"/>
        <w:autoSpaceDN w:val="0"/>
        <w:adjustRightInd w:val="0"/>
        <w:ind w:left="567" w:hanging="567"/>
        <w:textAlignment w:val="baseline"/>
      </w:pPr>
      <w:hyperlink w:history="1" r:id="rId31">
        <w:r w:rsidRPr="00B21DC6" w:rsidR="006D1DFA">
          <w:rPr>
            <w:b/>
            <w:bCs/>
            <w:i/>
            <w:iCs/>
            <w:color w:val="0000FF"/>
            <w:sz w:val="28"/>
            <w:szCs w:val="28"/>
            <w:u w:val="single"/>
            <w:lang w:val="en-GB"/>
          </w:rPr>
          <w:t>Violence against women as a human rights issue</w:t>
        </w:r>
      </w:hyperlink>
      <w:r w:rsidRPr="00C43D3E" w:rsidR="00B21DC6">
        <w:rPr>
          <w:u w:val="single"/>
        </w:rPr>
        <w:t xml:space="preserve"> </w:t>
      </w:r>
      <w:r w:rsidRPr="00C43D3E" w:rsidR="00B21DC6">
        <w:rPr>
          <w:b/>
          <w:bCs/>
          <w:i/>
          <w:iCs/>
          <w:color w:val="0000FF"/>
          <w:sz w:val="28"/>
          <w:szCs w:val="28"/>
          <w:u w:val="single"/>
        </w:rPr>
        <w:t>: state of play of measures across the EU</w:t>
      </w:r>
    </w:p>
    <w:p w:rsidRPr="006D1DFA" w:rsidR="006D1DFA" w:rsidP="00BE1F8F" w:rsidRDefault="006D1DFA" w14:paraId="0322A41C" w14:textId="77777777">
      <w:pPr>
        <w:tabs>
          <w:tab w:val="center" w:pos="284"/>
        </w:tabs>
        <w:overflowPunct w:val="0"/>
        <w:autoSpaceDE w:val="0"/>
        <w:autoSpaceDN w:val="0"/>
        <w:adjustRightInd w:val="0"/>
        <w:ind w:left="567" w:hanging="567"/>
        <w:textAlignment w:val="baseline"/>
        <w:rPr>
          <w:sz w:val="16"/>
          <w:szCs w:val="16"/>
          <w:lang w:val="en-GB"/>
        </w:rPr>
      </w:pPr>
    </w:p>
    <w:tbl>
      <w:tblPr>
        <w:tblW w:w="9322" w:type="dxa"/>
        <w:tblLook w:val="04A0" w:firstRow="1" w:lastRow="0" w:firstColumn="1" w:lastColumn="0" w:noHBand="0" w:noVBand="1"/>
      </w:tblPr>
      <w:tblGrid>
        <w:gridCol w:w="1834"/>
        <w:gridCol w:w="7488"/>
      </w:tblGrid>
      <w:tr w:rsidRPr="00BA71AC" w:rsidR="006D1DFA" w:rsidTr="00BE1F8F" w14:paraId="4E8132D8" w14:textId="77777777">
        <w:tc>
          <w:tcPr>
            <w:tcW w:w="1834" w:type="dxa"/>
          </w:tcPr>
          <w:p w:rsidRPr="006D1DFA" w:rsidR="006D1DFA" w:rsidP="00BE1F8F" w:rsidRDefault="006D1DFA" w14:paraId="62FE863C" w14:textId="77777777">
            <w:pPr>
              <w:tabs>
                <w:tab w:val="center" w:pos="284"/>
              </w:tabs>
              <w:overflowPunct w:val="0"/>
              <w:autoSpaceDE w:val="0"/>
              <w:autoSpaceDN w:val="0"/>
              <w:adjustRightInd w:val="0"/>
              <w:ind w:left="567" w:hanging="567"/>
              <w:textAlignment w:val="baseline"/>
              <w:rPr>
                <w:b/>
              </w:rPr>
            </w:pPr>
            <w:r w:rsidRPr="006D1DFA">
              <w:rPr>
                <w:b/>
              </w:rPr>
              <w:t>Rapporteur</w:t>
            </w:r>
          </w:p>
        </w:tc>
        <w:tc>
          <w:tcPr>
            <w:tcW w:w="7488" w:type="dxa"/>
          </w:tcPr>
          <w:p w:rsidRPr="006D1DFA" w:rsidR="006D1DFA" w:rsidP="00BE1F8F" w:rsidRDefault="006D1DFA" w14:paraId="59709140" w14:textId="77777777">
            <w:pPr>
              <w:overflowPunct w:val="0"/>
              <w:autoSpaceDE w:val="0"/>
              <w:autoSpaceDN w:val="0"/>
              <w:adjustRightInd w:val="0"/>
              <w:textAlignment w:val="baseline"/>
              <w:rPr>
                <w:lang w:val="es-ES"/>
              </w:rPr>
            </w:pPr>
            <w:r w:rsidRPr="006D1DFA">
              <w:rPr>
                <w:lang w:val="es-ES"/>
              </w:rPr>
              <w:t>José Antonio MORENO DÍAZ (Workers' Group - ES)</w:t>
            </w:r>
          </w:p>
        </w:tc>
      </w:tr>
      <w:tr w:rsidRPr="006D1DFA" w:rsidR="006D1DFA" w:rsidTr="00BE1F8F" w14:paraId="30BC9238" w14:textId="77777777">
        <w:tc>
          <w:tcPr>
            <w:tcW w:w="1834" w:type="dxa"/>
          </w:tcPr>
          <w:p w:rsidRPr="006D1DFA" w:rsidR="006D1DFA" w:rsidP="00BE1F8F" w:rsidRDefault="006D1DFA" w14:paraId="4D886634" w14:textId="77777777">
            <w:pPr>
              <w:tabs>
                <w:tab w:val="center" w:pos="284"/>
              </w:tabs>
              <w:overflowPunct w:val="0"/>
              <w:autoSpaceDE w:val="0"/>
              <w:autoSpaceDN w:val="0"/>
              <w:adjustRightInd w:val="0"/>
              <w:ind w:left="567" w:hanging="567"/>
              <w:textAlignment w:val="baseline"/>
              <w:rPr>
                <w:b/>
              </w:rPr>
            </w:pPr>
            <w:r w:rsidRPr="006D1DFA">
              <w:rPr>
                <w:b/>
                <w:lang w:val="fr-FR"/>
              </w:rPr>
              <w:t>Co-rapporteur</w:t>
            </w:r>
          </w:p>
        </w:tc>
        <w:tc>
          <w:tcPr>
            <w:tcW w:w="7488" w:type="dxa"/>
          </w:tcPr>
          <w:p w:rsidRPr="006D1DFA" w:rsidR="006D1DFA" w:rsidP="00BE1F8F" w:rsidRDefault="006D1DFA" w14:paraId="04C5BBA6" w14:textId="24635529">
            <w:pPr>
              <w:overflowPunct w:val="0"/>
              <w:autoSpaceDE w:val="0"/>
              <w:autoSpaceDN w:val="0"/>
              <w:adjustRightInd w:val="0"/>
              <w:textAlignment w:val="baseline"/>
              <w:rPr>
                <w:lang w:val="en-GB"/>
              </w:rPr>
            </w:pPr>
            <w:r w:rsidRPr="006D1DFA">
              <w:rPr>
                <w:lang w:val="en-GB"/>
              </w:rPr>
              <w:t xml:space="preserve">Dovilė JUODKAITĖ (Civil Society Organisations' Group </w:t>
            </w:r>
            <w:r w:rsidR="0083181F">
              <w:rPr>
                <w:lang w:val="en-GB"/>
              </w:rPr>
              <w:t>-</w:t>
            </w:r>
            <w:r w:rsidRPr="006D1DFA">
              <w:rPr>
                <w:lang w:val="en-GB"/>
              </w:rPr>
              <w:t xml:space="preserve"> LT)</w:t>
            </w:r>
          </w:p>
        </w:tc>
      </w:tr>
      <w:tr w:rsidRPr="006D1DFA" w:rsidR="006D1DFA" w:rsidTr="00BE1F8F" w14:paraId="51A5C160" w14:textId="77777777">
        <w:tc>
          <w:tcPr>
            <w:tcW w:w="1834" w:type="dxa"/>
          </w:tcPr>
          <w:p w:rsidRPr="006D1DFA" w:rsidR="006D1DFA" w:rsidP="00BE1F8F" w:rsidRDefault="006D1DFA" w14:paraId="1546DA25" w14:textId="112DF30C">
            <w:pPr>
              <w:tabs>
                <w:tab w:val="center" w:pos="284"/>
              </w:tabs>
              <w:overflowPunct w:val="0"/>
              <w:autoSpaceDE w:val="0"/>
              <w:autoSpaceDN w:val="0"/>
              <w:adjustRightInd w:val="0"/>
              <w:ind w:left="567" w:hanging="567"/>
              <w:textAlignment w:val="baseline"/>
              <w:rPr>
                <w:b/>
              </w:rPr>
            </w:pPr>
            <w:r w:rsidRPr="006D1DFA">
              <w:rPr>
                <w:b/>
              </w:rPr>
              <w:t>Reference</w:t>
            </w:r>
          </w:p>
        </w:tc>
        <w:tc>
          <w:tcPr>
            <w:tcW w:w="7488" w:type="dxa"/>
          </w:tcPr>
          <w:p w:rsidRPr="00C43D3E" w:rsidR="00C87D91" w:rsidP="00BE1F8F" w:rsidRDefault="00C87D91" w14:paraId="4F80F6D2" w14:textId="5951F9F7">
            <w:pPr>
              <w:tabs>
                <w:tab w:val="center" w:pos="284"/>
              </w:tabs>
              <w:overflowPunct w:val="0"/>
              <w:autoSpaceDE w:val="0"/>
              <w:autoSpaceDN w:val="0"/>
              <w:adjustRightInd w:val="0"/>
              <w:ind w:left="567" w:hanging="567"/>
              <w:textAlignment w:val="baseline"/>
            </w:pPr>
            <w:r w:rsidRPr="00C43D3E">
              <w:t>Own-initiative o</w:t>
            </w:r>
            <w:r>
              <w:t>pinion</w:t>
            </w:r>
          </w:p>
          <w:p w:rsidRPr="00C43D3E" w:rsidR="006D1DFA" w:rsidP="00BE1F8F" w:rsidRDefault="006D1DFA" w14:paraId="5A2B7EA1" w14:textId="6B30F056">
            <w:pPr>
              <w:tabs>
                <w:tab w:val="center" w:pos="284"/>
              </w:tabs>
              <w:overflowPunct w:val="0"/>
              <w:autoSpaceDE w:val="0"/>
              <w:autoSpaceDN w:val="0"/>
              <w:adjustRightInd w:val="0"/>
              <w:ind w:left="567" w:hanging="567"/>
              <w:textAlignment w:val="baseline"/>
            </w:pPr>
            <w:r w:rsidRPr="00C43D3E">
              <w:t>EESC-2024-01831-00-00-AC</w:t>
            </w:r>
          </w:p>
        </w:tc>
      </w:tr>
    </w:tbl>
    <w:p w:rsidRPr="00BE1F8F" w:rsidR="0083181F" w:rsidP="00BE1F8F" w:rsidRDefault="0083181F" w14:paraId="2171E13E" w14:textId="77777777">
      <w:pPr>
        <w:keepNext/>
        <w:keepLines/>
        <w:tabs>
          <w:tab w:val="center" w:pos="284"/>
        </w:tabs>
        <w:overflowPunct w:val="0"/>
        <w:autoSpaceDE w:val="0"/>
        <w:autoSpaceDN w:val="0"/>
        <w:adjustRightInd w:val="0"/>
        <w:ind w:left="266" w:hanging="266"/>
        <w:textAlignment w:val="baseline"/>
        <w:rPr>
          <w:b/>
          <w:sz w:val="16"/>
          <w:szCs w:val="16"/>
          <w:lang w:val="en-GB"/>
        </w:rPr>
      </w:pPr>
    </w:p>
    <w:p w:rsidRPr="006D1DFA" w:rsidR="006D1DFA" w:rsidP="00BE1F8F" w:rsidRDefault="006D1DFA" w14:paraId="5EF86660" w14:textId="2D834EC7">
      <w:pPr>
        <w:keepNext/>
        <w:keepLines/>
        <w:tabs>
          <w:tab w:val="center" w:pos="284"/>
        </w:tabs>
        <w:overflowPunct w:val="0"/>
        <w:autoSpaceDE w:val="0"/>
        <w:autoSpaceDN w:val="0"/>
        <w:adjustRightInd w:val="0"/>
        <w:ind w:left="266" w:hanging="266"/>
        <w:textAlignment w:val="baseline"/>
        <w:rPr>
          <w:b/>
          <w:lang w:val="en-GB"/>
        </w:rPr>
      </w:pPr>
      <w:r w:rsidRPr="006D1DFA">
        <w:rPr>
          <w:b/>
          <w:lang w:val="en-GB"/>
        </w:rPr>
        <w:t>Key points</w:t>
      </w:r>
    </w:p>
    <w:p w:rsidRPr="00BE1F8F" w:rsidR="006D1DFA" w:rsidP="00BE1F8F" w:rsidRDefault="006D1DFA" w14:paraId="7A7C5D4B" w14:textId="77777777">
      <w:pPr>
        <w:overflowPunct w:val="0"/>
        <w:autoSpaceDE w:val="0"/>
        <w:autoSpaceDN w:val="0"/>
        <w:adjustRightInd w:val="0"/>
        <w:textAlignment w:val="baseline"/>
        <w:rPr>
          <w:sz w:val="16"/>
          <w:szCs w:val="16"/>
          <w:lang w:val="en-GB"/>
        </w:rPr>
      </w:pPr>
    </w:p>
    <w:p w:rsidR="006D1DFA" w:rsidP="00BE1F8F" w:rsidRDefault="006D1DFA" w14:paraId="10140015" w14:textId="77777777">
      <w:pPr>
        <w:overflowPunct w:val="0"/>
        <w:autoSpaceDE w:val="0"/>
        <w:autoSpaceDN w:val="0"/>
        <w:adjustRightInd w:val="0"/>
        <w:textAlignment w:val="baseline"/>
        <w:rPr>
          <w:szCs w:val="20"/>
          <w:lang w:val="en-GB"/>
        </w:rPr>
      </w:pPr>
      <w:r w:rsidRPr="006D1DFA">
        <w:rPr>
          <w:szCs w:val="20"/>
          <w:lang w:val="en-GB"/>
        </w:rPr>
        <w:t>The EESC:</w:t>
      </w:r>
    </w:p>
    <w:p w:rsidRPr="006D1DFA" w:rsidR="006D1DFA" w:rsidP="00BE1F8F" w:rsidRDefault="006D1DFA" w14:paraId="6A53E697" w14:textId="77777777">
      <w:pPr>
        <w:numPr>
          <w:ilvl w:val="0"/>
          <w:numId w:val="24"/>
        </w:numPr>
        <w:overflowPunct w:val="0"/>
        <w:autoSpaceDE w:val="0"/>
        <w:autoSpaceDN w:val="0"/>
        <w:adjustRightInd w:val="0"/>
        <w:ind w:left="284" w:hanging="284"/>
        <w:contextualSpacing/>
        <w:textAlignment w:val="baseline"/>
        <w:rPr>
          <w:lang w:val="en-GB" w:eastAsia="zh-CN"/>
        </w:rPr>
      </w:pPr>
      <w:r w:rsidRPr="006D1DFA">
        <w:rPr>
          <w:lang w:val="en-GB" w:eastAsia="zh-CN"/>
        </w:rPr>
        <w:t>recalls that violence against women and girls is a human rights violation and one of the most persistent forms of gender discrimination. Calls for the ratification and implementation of the Council of Europe Convention on preventing and combating violence against women and domestic violence (the Istanbul Convention) and the International Labour Organization’s Convention 190 on violence and harassment (particularly its Recommendation 206) and for both to be promoted and implemented in all Member States and by the EU itself;</w:t>
      </w:r>
    </w:p>
    <w:p w:rsidRPr="006D1DFA" w:rsidR="006D1DFA" w:rsidP="00BE1F8F" w:rsidRDefault="006D1DFA" w14:paraId="2FC21B34" w14:textId="77777777">
      <w:pPr>
        <w:numPr>
          <w:ilvl w:val="0"/>
          <w:numId w:val="24"/>
        </w:numPr>
        <w:overflowPunct w:val="0"/>
        <w:autoSpaceDE w:val="0"/>
        <w:autoSpaceDN w:val="0"/>
        <w:adjustRightInd w:val="0"/>
        <w:ind w:left="284" w:hanging="284"/>
        <w:contextualSpacing/>
        <w:textAlignment w:val="baseline"/>
        <w:rPr>
          <w:lang w:val="en-GB" w:eastAsia="zh-CN"/>
        </w:rPr>
      </w:pPr>
      <w:r w:rsidRPr="006D1DFA">
        <w:rPr>
          <w:lang w:val="en-GB" w:eastAsia="zh-CN"/>
        </w:rPr>
        <w:t>believes Directive 2024/1385/EU on combating violence against women and domestic violence, should address all forms of violence against women, including institutional violence, prostitution, commercial or exploitative pornography, reproductive exploitation, vicarious violence, chemical submission and street harassment, as well as sexual and gender-based harassment and the forced sterilisation of women with disabilities, among others;</w:t>
      </w:r>
    </w:p>
    <w:p w:rsidRPr="006D1DFA" w:rsidR="006D1DFA" w:rsidP="00BE1F8F" w:rsidRDefault="006D1DFA" w14:paraId="449A6664" w14:textId="77777777">
      <w:pPr>
        <w:numPr>
          <w:ilvl w:val="0"/>
          <w:numId w:val="24"/>
        </w:numPr>
        <w:overflowPunct w:val="0"/>
        <w:autoSpaceDE w:val="0"/>
        <w:autoSpaceDN w:val="0"/>
        <w:adjustRightInd w:val="0"/>
        <w:ind w:left="284" w:hanging="284"/>
        <w:contextualSpacing/>
        <w:textAlignment w:val="baseline"/>
        <w:rPr>
          <w:lang w:val="en-GB" w:eastAsia="zh-CN"/>
        </w:rPr>
      </w:pPr>
      <w:r w:rsidRPr="006D1DFA">
        <w:rPr>
          <w:lang w:val="en-GB" w:eastAsia="zh-CN"/>
        </w:rPr>
        <w:t>calls for sexual violence and rape to be included in the Directive as a form of violence, and criminalised based on the absence of consent. A definition of ‘consent’ relating to sexual violence is needed. Gender-based violence, including rape, should be added to the list of ‘Eurocrimes’ referred to in Article 83(1) of the TFEU;</w:t>
      </w:r>
    </w:p>
    <w:p w:rsidRPr="006D1DFA" w:rsidR="006D1DFA" w:rsidP="00BE1F8F" w:rsidRDefault="006D1DFA" w14:paraId="7256F59F" w14:textId="77777777">
      <w:pPr>
        <w:numPr>
          <w:ilvl w:val="0"/>
          <w:numId w:val="24"/>
        </w:numPr>
        <w:overflowPunct w:val="0"/>
        <w:autoSpaceDE w:val="0"/>
        <w:autoSpaceDN w:val="0"/>
        <w:adjustRightInd w:val="0"/>
        <w:ind w:left="284" w:hanging="284"/>
        <w:contextualSpacing/>
        <w:textAlignment w:val="baseline"/>
        <w:rPr>
          <w:lang w:val="en-GB" w:eastAsia="zh-CN"/>
        </w:rPr>
      </w:pPr>
      <w:r w:rsidRPr="006D1DFA">
        <w:rPr>
          <w:lang w:val="en-GB" w:eastAsia="zh-CN"/>
        </w:rPr>
        <w:t xml:space="preserve">is concerned that </w:t>
      </w:r>
      <w:r w:rsidRPr="006D1DFA">
        <w:rPr>
          <w:iCs/>
          <w:lang w:val="en-GB" w:eastAsia="zh-CN"/>
        </w:rPr>
        <w:t>the physical, psychological and sexual violence that are constitutive elements of</w:t>
      </w:r>
      <w:r w:rsidRPr="006D1DFA">
        <w:rPr>
          <w:lang w:val="en-GB" w:eastAsia="zh-CN"/>
        </w:rPr>
        <w:t xml:space="preserve"> prostitution have not been included as a form of violence against women, as well as the restrictions on the free and safe voluntary termination of pregnancy </w:t>
      </w:r>
    </w:p>
    <w:p w:rsidRPr="006D1DFA" w:rsidR="006D1DFA" w:rsidP="00BE1F8F" w:rsidRDefault="006D1DFA" w14:paraId="0D19D92A" w14:textId="77777777">
      <w:pPr>
        <w:numPr>
          <w:ilvl w:val="0"/>
          <w:numId w:val="24"/>
        </w:numPr>
        <w:overflowPunct w:val="0"/>
        <w:autoSpaceDE w:val="0"/>
        <w:autoSpaceDN w:val="0"/>
        <w:adjustRightInd w:val="0"/>
        <w:ind w:left="284" w:hanging="284"/>
        <w:contextualSpacing/>
        <w:textAlignment w:val="baseline"/>
        <w:rPr>
          <w:lang w:val="en-GB" w:eastAsia="zh-CN"/>
        </w:rPr>
      </w:pPr>
      <w:r w:rsidRPr="006D1DFA">
        <w:rPr>
          <w:lang w:val="en-GB" w:eastAsia="zh-CN"/>
        </w:rPr>
        <w:t>while stressing that any kind of violence against women is a significant public and clinical health concern, underscores the multiple and intersectional discrimination suffered by women with disabilities, and in particular by women with mental health conditions and psychosocial and/or intellectual disabilities, calling for this type of violence to be considered a public health issue with long-term consequences. It also calls for disaggregated data collection by disability;</w:t>
      </w:r>
    </w:p>
    <w:p w:rsidRPr="006D1DFA" w:rsidR="006D1DFA" w:rsidP="00BE1F8F" w:rsidRDefault="006D1DFA" w14:paraId="33ACD23C" w14:textId="77777777">
      <w:pPr>
        <w:numPr>
          <w:ilvl w:val="0"/>
          <w:numId w:val="24"/>
        </w:numPr>
        <w:overflowPunct w:val="0"/>
        <w:autoSpaceDE w:val="0"/>
        <w:autoSpaceDN w:val="0"/>
        <w:adjustRightInd w:val="0"/>
        <w:ind w:left="284" w:hanging="284"/>
        <w:contextualSpacing/>
        <w:textAlignment w:val="baseline"/>
        <w:rPr>
          <w:lang w:val="en-GB" w:eastAsia="zh-CN"/>
        </w:rPr>
      </w:pPr>
      <w:r w:rsidRPr="006D1DFA">
        <w:rPr>
          <w:lang w:val="en-GB" w:eastAsia="zh-CN"/>
        </w:rPr>
        <w:t>it is deeply concerned about views that deny violence against women as a specific form of violence because of their status as women, thereby attacking the values and principles of Article 2 of the TFEU. Believes education, including sex education, is key in shaping gender roles and stereotypes, and calls for the inclusion of the educational community, civil society organizations and social partners, in institutional cooperation to prevent and combat gender-based violence;</w:t>
      </w:r>
    </w:p>
    <w:p w:rsidRPr="00C43D3E" w:rsidR="006D1DFA" w:rsidP="00BE1F8F" w:rsidRDefault="006D1DFA" w14:paraId="080A278F" w14:textId="77777777">
      <w:pPr>
        <w:numPr>
          <w:ilvl w:val="0"/>
          <w:numId w:val="24"/>
        </w:numPr>
        <w:overflowPunct w:val="0"/>
        <w:autoSpaceDE w:val="0"/>
        <w:autoSpaceDN w:val="0"/>
        <w:adjustRightInd w:val="0"/>
        <w:ind w:left="284" w:hanging="284"/>
        <w:contextualSpacing/>
        <w:textAlignment w:val="baseline"/>
        <w:rPr>
          <w:rFonts w:ascii="Calibri" w:hAnsi="Calibri"/>
          <w:lang w:val="en-GB" w:eastAsia="zh-CN"/>
        </w:rPr>
      </w:pPr>
      <w:r w:rsidRPr="006D1DFA">
        <w:rPr>
          <w:lang w:val="en-GB" w:eastAsia="zh-CN"/>
        </w:rPr>
        <w:t>calls for specific measures in the fields of social dialogue, collective bargaining and necessary negotiations with social partners to be included to boost the employment and promote the employability of victims of gender-based violence (GBV).</w:t>
      </w:r>
    </w:p>
    <w:p w:rsidRPr="00BE1F8F" w:rsidR="0083181F" w:rsidP="00BE1F8F" w:rsidRDefault="0083181F" w14:paraId="1D0159F4" w14:textId="77777777">
      <w:pPr>
        <w:overflowPunct w:val="0"/>
        <w:autoSpaceDE w:val="0"/>
        <w:autoSpaceDN w:val="0"/>
        <w:adjustRightInd w:val="0"/>
        <w:ind w:left="360"/>
        <w:contextualSpacing/>
        <w:textAlignment w:val="baseline"/>
        <w:rPr>
          <w:rFonts w:ascii="Calibri" w:hAnsi="Calibri"/>
          <w:sz w:val="16"/>
          <w:szCs w:val="16"/>
          <w:lang w:val="en-GB" w:eastAsia="zh-CN"/>
        </w:rPr>
      </w:pPr>
    </w:p>
    <w:tbl>
      <w:tblPr>
        <w:tblW w:w="5000" w:type="pct"/>
        <w:tblLook w:val="04A0" w:firstRow="1" w:lastRow="0" w:firstColumn="1" w:lastColumn="0" w:noHBand="0" w:noVBand="1"/>
      </w:tblPr>
      <w:tblGrid>
        <w:gridCol w:w="1668"/>
        <w:gridCol w:w="7619"/>
      </w:tblGrid>
      <w:tr w:rsidRPr="006D1DFA" w:rsidR="006D1DFA" w:rsidTr="00BE1F8F" w14:paraId="4A8CFBCD" w14:textId="77777777">
        <w:trPr>
          <w:trHeight w:val="60"/>
        </w:trPr>
        <w:tc>
          <w:tcPr>
            <w:tcW w:w="898" w:type="pct"/>
            <w:hideMark/>
          </w:tcPr>
          <w:p w:rsidRPr="006D1DFA" w:rsidR="006D1DFA" w:rsidP="00BE1F8F" w:rsidRDefault="006D1DFA" w14:paraId="089C51AC" w14:textId="77777777">
            <w:pPr>
              <w:overflowPunct w:val="0"/>
              <w:autoSpaceDE w:val="0"/>
              <w:autoSpaceDN w:val="0"/>
              <w:adjustRightInd w:val="0"/>
              <w:textAlignment w:val="baseline"/>
              <w:rPr>
                <w:i/>
              </w:rPr>
            </w:pPr>
            <w:r w:rsidRPr="006D1DFA">
              <w:rPr>
                <w:b/>
                <w:i/>
              </w:rPr>
              <w:t>Contact</w:t>
            </w:r>
          </w:p>
        </w:tc>
        <w:tc>
          <w:tcPr>
            <w:tcW w:w="4102" w:type="pct"/>
            <w:hideMark/>
          </w:tcPr>
          <w:p w:rsidRPr="006D1DFA" w:rsidR="006D1DFA" w:rsidP="00BE1F8F" w:rsidRDefault="006D1DFA" w14:paraId="6FF5FA37" w14:textId="11C6C549">
            <w:pPr>
              <w:overflowPunct w:val="0"/>
              <w:autoSpaceDE w:val="0"/>
              <w:autoSpaceDN w:val="0"/>
              <w:adjustRightInd w:val="0"/>
              <w:textAlignment w:val="baseline"/>
              <w:rPr>
                <w:i/>
                <w:iCs/>
              </w:rPr>
            </w:pPr>
            <w:r w:rsidRPr="006D1DFA">
              <w:rPr>
                <w:i/>
                <w:iCs/>
                <w:lang w:val="en-GB"/>
              </w:rPr>
              <w:t>Gabriela</w:t>
            </w:r>
            <w:r w:rsidRPr="006D1DFA">
              <w:rPr>
                <w:i/>
                <w:iCs/>
              </w:rPr>
              <w:t xml:space="preserve"> </w:t>
            </w:r>
            <w:r w:rsidRPr="006D1DFA" w:rsidR="0083181F">
              <w:rPr>
                <w:i/>
                <w:iCs/>
                <w:lang w:val="en-GB"/>
              </w:rPr>
              <w:t>Grasu</w:t>
            </w:r>
          </w:p>
        </w:tc>
      </w:tr>
      <w:tr w:rsidRPr="006D1DFA" w:rsidR="006D1DFA" w:rsidTr="00BE1F8F" w14:paraId="77817741" w14:textId="77777777">
        <w:tc>
          <w:tcPr>
            <w:tcW w:w="898" w:type="pct"/>
            <w:hideMark/>
          </w:tcPr>
          <w:p w:rsidRPr="006D1DFA" w:rsidR="006D1DFA" w:rsidP="00BE1F8F" w:rsidRDefault="006D1DFA" w14:paraId="1DA4D000" w14:textId="77777777">
            <w:pPr>
              <w:overflowPunct w:val="0"/>
              <w:autoSpaceDE w:val="0"/>
              <w:autoSpaceDN w:val="0"/>
              <w:adjustRightInd w:val="0"/>
              <w:textAlignment w:val="baseline"/>
              <w:rPr>
                <w:i/>
              </w:rPr>
            </w:pPr>
            <w:r w:rsidRPr="006D1DFA">
              <w:rPr>
                <w:i/>
              </w:rPr>
              <w:t>Tel.</w:t>
            </w:r>
          </w:p>
        </w:tc>
        <w:tc>
          <w:tcPr>
            <w:tcW w:w="4102" w:type="pct"/>
            <w:hideMark/>
          </w:tcPr>
          <w:p w:rsidRPr="006D1DFA" w:rsidR="006D1DFA" w:rsidP="00BE1F8F" w:rsidRDefault="006D1DFA" w14:paraId="56CC5263" w14:textId="77777777">
            <w:pPr>
              <w:overflowPunct w:val="0"/>
              <w:autoSpaceDE w:val="0"/>
              <w:autoSpaceDN w:val="0"/>
              <w:adjustRightInd w:val="0"/>
              <w:textAlignment w:val="baseline"/>
              <w:rPr>
                <w:i/>
              </w:rPr>
            </w:pPr>
            <w:r w:rsidRPr="006D1DFA">
              <w:rPr>
                <w:i/>
              </w:rPr>
              <w:t>+32 25469162</w:t>
            </w:r>
          </w:p>
        </w:tc>
      </w:tr>
      <w:tr w:rsidRPr="006D1DFA" w:rsidR="006D1DFA" w:rsidTr="00BE1F8F" w14:paraId="6F84E5BA" w14:textId="77777777">
        <w:tc>
          <w:tcPr>
            <w:tcW w:w="898" w:type="pct"/>
            <w:hideMark/>
          </w:tcPr>
          <w:p w:rsidRPr="006D1DFA" w:rsidR="006D1DFA" w:rsidP="00BE1F8F" w:rsidRDefault="006D1DFA" w14:paraId="3CC8E9E8" w14:textId="77777777">
            <w:pPr>
              <w:overflowPunct w:val="0"/>
              <w:autoSpaceDE w:val="0"/>
              <w:autoSpaceDN w:val="0"/>
              <w:adjustRightInd w:val="0"/>
              <w:textAlignment w:val="baseline"/>
              <w:rPr>
                <w:i/>
              </w:rPr>
            </w:pPr>
            <w:r w:rsidRPr="006D1DFA">
              <w:rPr>
                <w:i/>
              </w:rPr>
              <w:t>Email</w:t>
            </w:r>
          </w:p>
        </w:tc>
        <w:tc>
          <w:tcPr>
            <w:tcW w:w="4102" w:type="pct"/>
            <w:hideMark/>
          </w:tcPr>
          <w:p w:rsidRPr="006D1DFA" w:rsidR="006D1DFA" w:rsidP="00BE1F8F" w:rsidRDefault="002C4029" w14:paraId="02C23556" w14:textId="4AC0EB0F">
            <w:pPr>
              <w:overflowPunct w:val="0"/>
              <w:autoSpaceDE w:val="0"/>
              <w:autoSpaceDN w:val="0"/>
              <w:adjustRightInd w:val="0"/>
              <w:textAlignment w:val="baseline"/>
              <w:rPr>
                <w:i/>
              </w:rPr>
            </w:pPr>
            <w:hyperlink w:history="1" r:id="rId32">
              <w:r w:rsidRPr="006D1DFA" w:rsidR="006D1DFA">
                <w:rPr>
                  <w:i/>
                  <w:color w:val="0000FF"/>
                  <w:u w:val="single"/>
                </w:rPr>
                <w:t>Grasu.Gabriela@eesc.europa.eu</w:t>
              </w:r>
            </w:hyperlink>
          </w:p>
        </w:tc>
      </w:tr>
    </w:tbl>
    <w:p w:rsidR="00E14D8E" w:rsidP="00BE1F8F" w:rsidRDefault="00E14D8E" w14:paraId="7F936985" w14:textId="77777777">
      <w:pPr>
        <w:jc w:val="left"/>
        <w:rPr>
          <w:lang w:val="en-GB"/>
        </w:rPr>
      </w:pPr>
      <w:r>
        <w:rPr>
          <w:lang w:val="en-GB"/>
        </w:rPr>
        <w:br w:type="page"/>
      </w:r>
    </w:p>
    <w:p w:rsidRPr="001826A4" w:rsidR="00910C90" w:rsidP="009B596B" w:rsidRDefault="002C4029" w14:paraId="6D8670E5" w14:textId="28540015">
      <w:pPr>
        <w:widowControl w:val="0"/>
        <w:numPr>
          <w:ilvl w:val="0"/>
          <w:numId w:val="10"/>
        </w:numPr>
        <w:overflowPunct w:val="0"/>
        <w:autoSpaceDE w:val="0"/>
        <w:autoSpaceDN w:val="0"/>
        <w:adjustRightInd w:val="0"/>
        <w:ind w:left="567" w:hanging="567"/>
        <w:textAlignment w:val="baseline"/>
        <w:rPr>
          <w:sz w:val="24"/>
          <w:szCs w:val="24"/>
          <w:lang w:val="en-GB"/>
        </w:rPr>
      </w:pPr>
      <w:hyperlink w:history="1" r:id="rId33">
        <w:r w:rsidRPr="001826A4" w:rsidR="00910C90">
          <w:rPr>
            <w:b/>
            <w:bCs/>
            <w:i/>
            <w:iCs/>
            <w:color w:val="0000FF"/>
            <w:sz w:val="28"/>
            <w:szCs w:val="28"/>
            <w:u w:val="single"/>
            <w:lang w:val="en-GB"/>
          </w:rPr>
          <w:t>EESC contribution to the EU</w:t>
        </w:r>
        <w:r w:rsidR="001638E9">
          <w:rPr>
            <w:b/>
            <w:bCs/>
            <w:i/>
            <w:iCs/>
            <w:color w:val="0000FF"/>
            <w:sz w:val="28"/>
            <w:szCs w:val="28"/>
            <w:u w:val="single"/>
            <w:lang w:val="en-GB"/>
          </w:rPr>
          <w:t>'s</w:t>
        </w:r>
        <w:r w:rsidRPr="001826A4" w:rsidR="00910C90">
          <w:rPr>
            <w:b/>
            <w:bCs/>
            <w:i/>
            <w:iCs/>
            <w:color w:val="0000FF"/>
            <w:sz w:val="28"/>
            <w:szCs w:val="28"/>
            <w:u w:val="single"/>
            <w:lang w:val="en-GB"/>
          </w:rPr>
          <w:t xml:space="preserve"> priorities at the UNCSW69</w:t>
        </w:r>
      </w:hyperlink>
    </w:p>
    <w:p w:rsidRPr="00910C90" w:rsidR="00910C90" w:rsidP="00BE1F8F" w:rsidRDefault="00910C90" w14:paraId="59A5F3E8" w14:textId="77777777">
      <w:pPr>
        <w:tabs>
          <w:tab w:val="center" w:pos="284"/>
        </w:tabs>
        <w:overflowPunct w:val="0"/>
        <w:autoSpaceDE w:val="0"/>
        <w:autoSpaceDN w:val="0"/>
        <w:adjustRightInd w:val="0"/>
        <w:ind w:left="266" w:hanging="266"/>
        <w:textAlignment w:val="baseline"/>
        <w:rPr>
          <w:b/>
          <w:lang w:val="en-GB"/>
        </w:rPr>
      </w:pPr>
    </w:p>
    <w:tbl>
      <w:tblPr>
        <w:tblW w:w="0" w:type="auto"/>
        <w:tblLook w:val="04A0" w:firstRow="1" w:lastRow="0" w:firstColumn="1" w:lastColumn="0" w:noHBand="0" w:noVBand="1"/>
      </w:tblPr>
      <w:tblGrid>
        <w:gridCol w:w="1701"/>
        <w:gridCol w:w="7479"/>
      </w:tblGrid>
      <w:tr w:rsidRPr="00910C90" w:rsidR="00910C90" w:rsidTr="00BE1F8F" w14:paraId="465F2FF7" w14:textId="77777777">
        <w:tc>
          <w:tcPr>
            <w:tcW w:w="1701" w:type="dxa"/>
          </w:tcPr>
          <w:p w:rsidRPr="00910C90" w:rsidR="00910C90" w:rsidP="00BE1F8F" w:rsidRDefault="00910C90" w14:paraId="4E8AE8B7" w14:textId="77777777">
            <w:pPr>
              <w:tabs>
                <w:tab w:val="center" w:pos="284"/>
              </w:tabs>
              <w:overflowPunct w:val="0"/>
              <w:autoSpaceDE w:val="0"/>
              <w:autoSpaceDN w:val="0"/>
              <w:adjustRightInd w:val="0"/>
              <w:ind w:left="266" w:hanging="266"/>
              <w:textAlignment w:val="baseline"/>
              <w:rPr>
                <w:b/>
                <w:lang w:val="en-GB"/>
              </w:rPr>
            </w:pPr>
            <w:r w:rsidRPr="00910C90">
              <w:rPr>
                <w:b/>
                <w:lang w:val="en-GB"/>
              </w:rPr>
              <w:t>Rapporteur:</w:t>
            </w:r>
          </w:p>
        </w:tc>
        <w:tc>
          <w:tcPr>
            <w:tcW w:w="7479" w:type="dxa"/>
          </w:tcPr>
          <w:p w:rsidRPr="00910C90" w:rsidR="00910C90" w:rsidP="00BE1F8F" w:rsidRDefault="00910C90" w14:paraId="420EA1BA" w14:textId="3993E2B2">
            <w:pPr>
              <w:tabs>
                <w:tab w:val="center" w:pos="284"/>
              </w:tabs>
              <w:overflowPunct w:val="0"/>
              <w:autoSpaceDE w:val="0"/>
              <w:autoSpaceDN w:val="0"/>
              <w:adjustRightInd w:val="0"/>
              <w:ind w:left="266" w:hanging="266"/>
              <w:textAlignment w:val="baseline"/>
              <w:rPr>
                <w:lang w:val="en-GB"/>
              </w:rPr>
            </w:pPr>
            <w:r w:rsidRPr="00910C90">
              <w:rPr>
                <w:lang w:val="en-GB"/>
              </w:rPr>
              <w:t xml:space="preserve">Maria NIKOLOPOULOU (Workers' Group </w:t>
            </w:r>
            <w:r w:rsidR="001826A4">
              <w:rPr>
                <w:lang w:val="en-GB"/>
              </w:rPr>
              <w:t>-</w:t>
            </w:r>
            <w:r w:rsidR="008B7F9B">
              <w:rPr>
                <w:lang w:val="en-GB"/>
              </w:rPr>
              <w:t xml:space="preserve"> </w:t>
            </w:r>
            <w:r w:rsidRPr="00910C90">
              <w:rPr>
                <w:lang w:val="en-GB"/>
              </w:rPr>
              <w:t>ES)</w:t>
            </w:r>
          </w:p>
        </w:tc>
      </w:tr>
      <w:tr w:rsidRPr="00910C90" w:rsidR="00910C90" w:rsidTr="00BE1F8F" w14:paraId="417FB600" w14:textId="77777777">
        <w:tc>
          <w:tcPr>
            <w:tcW w:w="1701" w:type="dxa"/>
            <w:vMerge w:val="restart"/>
          </w:tcPr>
          <w:p w:rsidRPr="00910C90" w:rsidR="00910C90" w:rsidP="00BE1F8F" w:rsidRDefault="00910C90" w14:paraId="41736237" w14:textId="3B749ABF">
            <w:pPr>
              <w:tabs>
                <w:tab w:val="center" w:pos="284"/>
              </w:tabs>
              <w:overflowPunct w:val="0"/>
              <w:autoSpaceDE w:val="0"/>
              <w:autoSpaceDN w:val="0"/>
              <w:adjustRightInd w:val="0"/>
              <w:ind w:left="266" w:hanging="266"/>
              <w:textAlignment w:val="baseline"/>
              <w:rPr>
                <w:b/>
                <w:lang w:val="en-GB"/>
              </w:rPr>
            </w:pPr>
            <w:r w:rsidRPr="00910C90">
              <w:rPr>
                <w:b/>
                <w:lang w:val="en-GB"/>
              </w:rPr>
              <w:t>Reference</w:t>
            </w:r>
          </w:p>
        </w:tc>
        <w:tc>
          <w:tcPr>
            <w:tcW w:w="7479" w:type="dxa"/>
          </w:tcPr>
          <w:p w:rsidRPr="00910C90" w:rsidR="00910C90" w:rsidP="00BE1F8F" w:rsidRDefault="00910C90" w14:paraId="028B9FD7" w14:textId="77777777">
            <w:pPr>
              <w:tabs>
                <w:tab w:val="center" w:pos="284"/>
              </w:tabs>
              <w:overflowPunct w:val="0"/>
              <w:autoSpaceDE w:val="0"/>
              <w:autoSpaceDN w:val="0"/>
              <w:adjustRightInd w:val="0"/>
              <w:ind w:left="266" w:hanging="266"/>
              <w:textAlignment w:val="baseline"/>
              <w:rPr>
                <w:lang w:val="en-GB"/>
              </w:rPr>
            </w:pPr>
            <w:r w:rsidRPr="00910C90">
              <w:rPr>
                <w:lang w:val="en-GB"/>
              </w:rPr>
              <w:t>Own-initiative opinion</w:t>
            </w:r>
          </w:p>
        </w:tc>
      </w:tr>
      <w:tr w:rsidRPr="00910C90" w:rsidR="00910C90" w:rsidTr="00BE1F8F" w14:paraId="08D488E3" w14:textId="77777777">
        <w:tc>
          <w:tcPr>
            <w:tcW w:w="1701" w:type="dxa"/>
            <w:vMerge/>
          </w:tcPr>
          <w:p w:rsidRPr="00910C90" w:rsidR="00910C90" w:rsidP="00BE1F8F" w:rsidRDefault="00910C90" w14:paraId="5B75EF00" w14:textId="77777777">
            <w:pPr>
              <w:tabs>
                <w:tab w:val="center" w:pos="284"/>
              </w:tabs>
              <w:overflowPunct w:val="0"/>
              <w:autoSpaceDE w:val="0"/>
              <w:autoSpaceDN w:val="0"/>
              <w:adjustRightInd w:val="0"/>
              <w:ind w:left="266" w:hanging="266"/>
              <w:textAlignment w:val="baseline"/>
              <w:rPr>
                <w:b/>
                <w:lang w:val="en-GB"/>
              </w:rPr>
            </w:pPr>
          </w:p>
        </w:tc>
        <w:tc>
          <w:tcPr>
            <w:tcW w:w="7479" w:type="dxa"/>
          </w:tcPr>
          <w:p w:rsidRPr="00910C90" w:rsidR="00910C90" w:rsidP="00BE1F8F" w:rsidRDefault="00910C90" w14:paraId="565EAB0A" w14:textId="77777777">
            <w:pPr>
              <w:tabs>
                <w:tab w:val="center" w:pos="284"/>
              </w:tabs>
              <w:overflowPunct w:val="0"/>
              <w:autoSpaceDE w:val="0"/>
              <w:autoSpaceDN w:val="0"/>
              <w:adjustRightInd w:val="0"/>
              <w:ind w:left="266" w:hanging="266"/>
              <w:textAlignment w:val="baseline"/>
              <w:rPr>
                <w:lang w:val="en-GB"/>
              </w:rPr>
            </w:pPr>
            <w:r w:rsidRPr="00910C90">
              <w:rPr>
                <w:lang w:val="en-GB"/>
              </w:rPr>
              <w:t>EESC-2024-03990-00-00-AC</w:t>
            </w:r>
          </w:p>
        </w:tc>
      </w:tr>
    </w:tbl>
    <w:p w:rsidRPr="00910C90" w:rsidR="00910C90" w:rsidP="00BE1F8F" w:rsidRDefault="00910C90" w14:paraId="5C940F4E" w14:textId="77777777">
      <w:pPr>
        <w:keepNext/>
        <w:keepLines/>
        <w:tabs>
          <w:tab w:val="center" w:pos="284"/>
        </w:tabs>
        <w:overflowPunct w:val="0"/>
        <w:autoSpaceDE w:val="0"/>
        <w:autoSpaceDN w:val="0"/>
        <w:adjustRightInd w:val="0"/>
        <w:ind w:left="266" w:hanging="266"/>
        <w:textAlignment w:val="baseline"/>
        <w:rPr>
          <w:b/>
          <w:lang w:val="en-GB"/>
        </w:rPr>
      </w:pPr>
    </w:p>
    <w:p w:rsidRPr="00910C90" w:rsidR="00910C90" w:rsidP="00BE1F8F" w:rsidRDefault="00910C90" w14:paraId="371C0EEF" w14:textId="4AB8EF1C">
      <w:pPr>
        <w:keepNext/>
        <w:keepLines/>
        <w:tabs>
          <w:tab w:val="center" w:pos="284"/>
        </w:tabs>
        <w:overflowPunct w:val="0"/>
        <w:autoSpaceDE w:val="0"/>
        <w:autoSpaceDN w:val="0"/>
        <w:adjustRightInd w:val="0"/>
        <w:ind w:left="266" w:hanging="266"/>
        <w:textAlignment w:val="baseline"/>
        <w:rPr>
          <w:b/>
          <w:lang w:val="en-GB"/>
        </w:rPr>
      </w:pPr>
      <w:r w:rsidRPr="00910C90">
        <w:rPr>
          <w:b/>
          <w:lang w:val="en-GB"/>
        </w:rPr>
        <w:t>Key points</w:t>
      </w:r>
    </w:p>
    <w:p w:rsidRPr="00910C90" w:rsidR="00910C90" w:rsidP="00BE1F8F" w:rsidRDefault="00910C90" w14:paraId="4A75BA5E" w14:textId="77777777">
      <w:pPr>
        <w:keepNext/>
        <w:keepLines/>
        <w:tabs>
          <w:tab w:val="center" w:pos="284"/>
        </w:tabs>
        <w:overflowPunct w:val="0"/>
        <w:autoSpaceDE w:val="0"/>
        <w:autoSpaceDN w:val="0"/>
        <w:adjustRightInd w:val="0"/>
        <w:ind w:left="266" w:hanging="266"/>
        <w:textAlignment w:val="baseline"/>
        <w:rPr>
          <w:b/>
          <w:lang w:val="en-GB"/>
        </w:rPr>
      </w:pPr>
    </w:p>
    <w:p w:rsidR="00910C90" w:rsidP="00BE1F8F" w:rsidRDefault="00910C90" w14:paraId="217B964C" w14:textId="77777777">
      <w:pPr>
        <w:overflowPunct w:val="0"/>
        <w:autoSpaceDE w:val="0"/>
        <w:autoSpaceDN w:val="0"/>
        <w:adjustRightInd w:val="0"/>
        <w:textAlignment w:val="baseline"/>
        <w:rPr>
          <w:bCs/>
          <w:iCs/>
          <w:lang w:val="en-GB"/>
        </w:rPr>
      </w:pPr>
      <w:r w:rsidRPr="00910C90">
        <w:rPr>
          <w:bCs/>
          <w:iCs/>
          <w:lang w:val="en-GB"/>
        </w:rPr>
        <w:t>The EESC:</w:t>
      </w:r>
    </w:p>
    <w:p w:rsidRPr="00910C90" w:rsidR="00910C90" w:rsidP="00BE1F8F" w:rsidRDefault="00910C90" w14:paraId="1D41958A" w14:textId="77777777">
      <w:pPr>
        <w:widowControl w:val="0"/>
        <w:numPr>
          <w:ilvl w:val="0"/>
          <w:numId w:val="26"/>
        </w:numPr>
        <w:overflowPunct w:val="0"/>
        <w:autoSpaceDE w:val="0"/>
        <w:autoSpaceDN w:val="0"/>
        <w:adjustRightInd w:val="0"/>
        <w:ind w:left="284" w:hanging="284"/>
        <w:textAlignment w:val="baseline"/>
        <w:rPr>
          <w:lang w:val="en-GB"/>
        </w:rPr>
      </w:pPr>
      <w:r w:rsidRPr="00910C90">
        <w:rPr>
          <w:lang w:val="en-GB"/>
        </w:rPr>
        <w:t>urges the EU and the Member States to increase the pace of progress on gender equality, be more ambitious and vocal about the shrinking space for civil society and block any backlash against women’s rights, which are under attack, in particular by extreme-right political parties;</w:t>
      </w:r>
    </w:p>
    <w:p w:rsidRPr="00910C90" w:rsidR="00910C90" w:rsidP="00BE1F8F" w:rsidRDefault="00910C90" w14:paraId="78127DE3" w14:textId="77777777">
      <w:pPr>
        <w:widowControl w:val="0"/>
        <w:numPr>
          <w:ilvl w:val="0"/>
          <w:numId w:val="26"/>
        </w:numPr>
        <w:overflowPunct w:val="0"/>
        <w:autoSpaceDE w:val="0"/>
        <w:autoSpaceDN w:val="0"/>
        <w:adjustRightInd w:val="0"/>
        <w:ind w:left="284" w:hanging="284"/>
        <w:textAlignment w:val="baseline"/>
        <w:rPr>
          <w:lang w:val="en-GB"/>
        </w:rPr>
      </w:pPr>
      <w:r w:rsidRPr="00910C90">
        <w:rPr>
          <w:lang w:val="en-GB"/>
        </w:rPr>
        <w:t>suggests that the EU, Member States and political parties commit to attracting women to politics, including by considering measures to encourage the election and appointment of women to key positions, such as quotas, zipped lists, co-chairing, split terms of office and proposing male and female candidates;</w:t>
      </w:r>
    </w:p>
    <w:p w:rsidRPr="00910C90" w:rsidR="00910C90" w:rsidP="00BE1F8F" w:rsidRDefault="00910C90" w14:paraId="7874547D" w14:textId="77777777">
      <w:pPr>
        <w:widowControl w:val="0"/>
        <w:numPr>
          <w:ilvl w:val="0"/>
          <w:numId w:val="26"/>
        </w:numPr>
        <w:overflowPunct w:val="0"/>
        <w:autoSpaceDE w:val="0"/>
        <w:autoSpaceDN w:val="0"/>
        <w:adjustRightInd w:val="0"/>
        <w:ind w:left="284" w:hanging="284"/>
        <w:contextualSpacing/>
        <w:textAlignment w:val="baseline"/>
        <w:rPr>
          <w:lang w:val="en-GB" w:eastAsia="zh-CN"/>
        </w:rPr>
      </w:pPr>
      <w:r w:rsidRPr="00910C90">
        <w:rPr>
          <w:lang w:val="en-GB" w:eastAsia="zh-CN"/>
        </w:rPr>
        <w:t xml:space="preserve">urges Member States to allocate sufficient resources to their national action plans to end violence against women </w:t>
      </w:r>
      <w:r w:rsidRPr="00910C90">
        <w:rPr>
          <w:lang w:val="en-GB"/>
        </w:rPr>
        <w:t xml:space="preserve">and design them in consultation with civil society organisations; call for more actions to tackle </w:t>
      </w:r>
      <w:r w:rsidRPr="00910C90">
        <w:rPr>
          <w:lang w:val="en-GB" w:eastAsia="zh-CN"/>
        </w:rPr>
        <w:t xml:space="preserve">online and economic violence, care for </w:t>
      </w:r>
      <w:r w:rsidRPr="00910C90">
        <w:rPr>
          <w:lang w:val="en-GB"/>
        </w:rPr>
        <w:t xml:space="preserve">women’s physical and mental health, as well as ensuring the respect of women’s sexual and reproductive health and rights; </w:t>
      </w:r>
    </w:p>
    <w:p w:rsidRPr="00910C90" w:rsidR="00910C90" w:rsidP="00BE1F8F" w:rsidRDefault="00910C90" w14:paraId="21DA3653" w14:textId="77777777">
      <w:pPr>
        <w:widowControl w:val="0"/>
        <w:numPr>
          <w:ilvl w:val="0"/>
          <w:numId w:val="26"/>
        </w:numPr>
        <w:overflowPunct w:val="0"/>
        <w:autoSpaceDE w:val="0"/>
        <w:autoSpaceDN w:val="0"/>
        <w:adjustRightInd w:val="0"/>
        <w:ind w:left="284" w:hanging="284"/>
        <w:contextualSpacing/>
        <w:textAlignment w:val="baseline"/>
        <w:rPr>
          <w:lang w:val="en-GB" w:eastAsia="zh-CN"/>
        </w:rPr>
      </w:pPr>
      <w:r w:rsidRPr="00910C90">
        <w:rPr>
          <w:lang w:val="en-GB" w:eastAsia="zh-CN"/>
        </w:rPr>
        <w:t>believes the EU just transition framework should include a skills strategy to address pre-existing gender inequalities, while bearing in mind women and girls in the Global South and in rural areas, who are disproportionately affected by the triple planetary crisis;</w:t>
      </w:r>
    </w:p>
    <w:p w:rsidRPr="00910C90" w:rsidR="00910C90" w:rsidP="00BE1F8F" w:rsidRDefault="00910C90" w14:paraId="4B62CBD1" w14:textId="77777777">
      <w:pPr>
        <w:widowControl w:val="0"/>
        <w:numPr>
          <w:ilvl w:val="0"/>
          <w:numId w:val="26"/>
        </w:numPr>
        <w:overflowPunct w:val="0"/>
        <w:autoSpaceDE w:val="0"/>
        <w:autoSpaceDN w:val="0"/>
        <w:adjustRightInd w:val="0"/>
        <w:ind w:left="284" w:hanging="284"/>
        <w:contextualSpacing/>
        <w:textAlignment w:val="baseline"/>
        <w:rPr>
          <w:lang w:val="en-GB" w:eastAsia="zh-CN"/>
        </w:rPr>
      </w:pPr>
      <w:r w:rsidRPr="00910C90">
        <w:rPr>
          <w:lang w:val="en-GB" w:eastAsia="zh-CN"/>
        </w:rPr>
        <w:t>calls on bridging the digital gender gap and include w</w:t>
      </w:r>
      <w:r w:rsidRPr="00910C90">
        <w:rPr>
          <w:lang w:val="en-GB"/>
        </w:rPr>
        <w:t>omen’s perspectives in the design, development and deployment of artificial intelligence (AI) and algorithms, to make AI socially sensitive and inclusive;</w:t>
      </w:r>
    </w:p>
    <w:p w:rsidRPr="00910C90" w:rsidR="00910C90" w:rsidP="00BE1F8F" w:rsidRDefault="00910C90" w14:paraId="2831FD93" w14:textId="77777777">
      <w:pPr>
        <w:widowControl w:val="0"/>
        <w:numPr>
          <w:ilvl w:val="0"/>
          <w:numId w:val="26"/>
        </w:numPr>
        <w:overflowPunct w:val="0"/>
        <w:autoSpaceDE w:val="0"/>
        <w:autoSpaceDN w:val="0"/>
        <w:adjustRightInd w:val="0"/>
        <w:ind w:left="284" w:hanging="284"/>
        <w:contextualSpacing/>
        <w:textAlignment w:val="baseline"/>
        <w:rPr>
          <w:lang w:val="en-GB" w:eastAsia="zh-CN"/>
        </w:rPr>
      </w:pPr>
      <w:r w:rsidRPr="00910C90">
        <w:rPr>
          <w:lang w:val="en-GB"/>
        </w:rPr>
        <w:t>calls for measures to</w:t>
      </w:r>
      <w:r w:rsidRPr="00910C90">
        <w:rPr>
          <w:lang w:val="en-GB" w:eastAsia="zh-CN"/>
        </w:rPr>
        <w:t xml:space="preserve"> close the gender gap in unpaid care responsibilities and help women stay in the labour market, including by providing affordable, accessible and quality healthcare and care services, as well as safety nets, according to national rules;</w:t>
      </w:r>
    </w:p>
    <w:p w:rsidRPr="00910C90" w:rsidR="00910C90" w:rsidP="00BE1F8F" w:rsidRDefault="00910C90" w14:paraId="20D9B26B" w14:textId="77777777">
      <w:pPr>
        <w:widowControl w:val="0"/>
        <w:numPr>
          <w:ilvl w:val="0"/>
          <w:numId w:val="26"/>
        </w:numPr>
        <w:overflowPunct w:val="0"/>
        <w:autoSpaceDE w:val="0"/>
        <w:autoSpaceDN w:val="0"/>
        <w:adjustRightInd w:val="0"/>
        <w:ind w:left="284" w:hanging="284"/>
        <w:contextualSpacing/>
        <w:textAlignment w:val="baseline"/>
        <w:rPr>
          <w:lang w:val="en-GB" w:eastAsia="zh-CN"/>
        </w:rPr>
      </w:pPr>
      <w:r w:rsidRPr="00910C90">
        <w:rPr>
          <w:lang w:val="en-GB"/>
        </w:rPr>
        <w:t>calls for a strong and ambitious long-term EU strategy on inclusive foreign policy that puts gender equality, human rights, feminist diplomacy and social justice at its core;</w:t>
      </w:r>
    </w:p>
    <w:p w:rsidR="00910C90" w:rsidP="00BE1F8F" w:rsidRDefault="00910C90" w14:paraId="5A9E6752" w14:textId="77777777">
      <w:pPr>
        <w:widowControl w:val="0"/>
        <w:numPr>
          <w:ilvl w:val="0"/>
          <w:numId w:val="26"/>
        </w:numPr>
        <w:overflowPunct w:val="0"/>
        <w:autoSpaceDE w:val="0"/>
        <w:autoSpaceDN w:val="0"/>
        <w:adjustRightInd w:val="0"/>
        <w:ind w:left="284" w:hanging="284"/>
        <w:contextualSpacing/>
        <w:textAlignment w:val="baseline"/>
        <w:rPr>
          <w:lang w:val="en-GB" w:eastAsia="zh-CN"/>
        </w:rPr>
      </w:pPr>
      <w:r w:rsidRPr="00910C90">
        <w:rPr>
          <w:lang w:val="en-GB"/>
        </w:rPr>
        <w:t>stresses the need for more gender-disaggregated intersectional data to shape and follow up on strategies, for the use of gender budgeting tools and a gender lens in fiscal policy.</w:t>
      </w:r>
    </w:p>
    <w:p w:rsidRPr="00910C90" w:rsidR="008B7F9B" w:rsidP="00BE1F8F" w:rsidRDefault="008B7F9B" w14:paraId="0A0E47B6" w14:textId="77777777">
      <w:pPr>
        <w:widowControl w:val="0"/>
        <w:overflowPunct w:val="0"/>
        <w:autoSpaceDE w:val="0"/>
        <w:autoSpaceDN w:val="0"/>
        <w:adjustRightInd w:val="0"/>
        <w:contextualSpacing/>
        <w:textAlignment w:val="baseline"/>
        <w:rPr>
          <w:lang w:val="en-GB" w:eastAsia="zh-CN"/>
        </w:rPr>
      </w:pPr>
    </w:p>
    <w:tbl>
      <w:tblPr>
        <w:tblW w:w="0" w:type="auto"/>
        <w:tblLook w:val="04A0" w:firstRow="1" w:lastRow="0" w:firstColumn="1" w:lastColumn="0" w:noHBand="0" w:noVBand="1"/>
      </w:tblPr>
      <w:tblGrid>
        <w:gridCol w:w="1668"/>
        <w:gridCol w:w="7512"/>
      </w:tblGrid>
      <w:tr w:rsidRPr="00910C90" w:rsidR="00910C90" w:rsidTr="00713105" w14:paraId="0D75D5FA" w14:textId="77777777">
        <w:tc>
          <w:tcPr>
            <w:tcW w:w="1668" w:type="dxa"/>
          </w:tcPr>
          <w:p w:rsidRPr="00910C90" w:rsidR="00910C90" w:rsidP="00BE1F8F" w:rsidRDefault="00910C90" w14:paraId="09EE9454" w14:textId="796CA1EC">
            <w:pPr>
              <w:overflowPunct w:val="0"/>
              <w:autoSpaceDE w:val="0"/>
              <w:autoSpaceDN w:val="0"/>
              <w:adjustRightInd w:val="0"/>
              <w:textAlignment w:val="baseline"/>
              <w:rPr>
                <w:i/>
                <w:lang w:val="en-GB"/>
              </w:rPr>
            </w:pPr>
            <w:r w:rsidRPr="00910C90">
              <w:rPr>
                <w:b/>
                <w:i/>
                <w:lang w:val="en-GB"/>
              </w:rPr>
              <w:t>Contact</w:t>
            </w:r>
          </w:p>
        </w:tc>
        <w:tc>
          <w:tcPr>
            <w:tcW w:w="7512" w:type="dxa"/>
          </w:tcPr>
          <w:p w:rsidRPr="00910C90" w:rsidR="00910C90" w:rsidP="00BE1F8F" w:rsidRDefault="00910C90" w14:paraId="20BCFE55" w14:textId="48EB87B0">
            <w:pPr>
              <w:overflowPunct w:val="0"/>
              <w:autoSpaceDE w:val="0"/>
              <w:autoSpaceDN w:val="0"/>
              <w:adjustRightInd w:val="0"/>
              <w:textAlignment w:val="baseline"/>
              <w:rPr>
                <w:i/>
                <w:lang w:val="en-GB"/>
              </w:rPr>
            </w:pPr>
            <w:r w:rsidRPr="00910C90">
              <w:rPr>
                <w:i/>
                <w:lang w:val="en-GB"/>
              </w:rPr>
              <w:t>Gabriela G</w:t>
            </w:r>
            <w:r w:rsidRPr="00910C90" w:rsidR="008B7F9B">
              <w:rPr>
                <w:i/>
                <w:lang w:val="en-GB"/>
              </w:rPr>
              <w:t>rasu</w:t>
            </w:r>
          </w:p>
        </w:tc>
      </w:tr>
      <w:tr w:rsidRPr="00910C90" w:rsidR="00910C90" w:rsidTr="00713105" w14:paraId="10BE1906" w14:textId="77777777">
        <w:tc>
          <w:tcPr>
            <w:tcW w:w="1668" w:type="dxa"/>
          </w:tcPr>
          <w:p w:rsidRPr="00910C90" w:rsidR="00910C90" w:rsidP="00BE1F8F" w:rsidRDefault="00910C90" w14:paraId="7C9E9C27" w14:textId="578CE414">
            <w:pPr>
              <w:overflowPunct w:val="0"/>
              <w:autoSpaceDE w:val="0"/>
              <w:autoSpaceDN w:val="0"/>
              <w:adjustRightInd w:val="0"/>
              <w:textAlignment w:val="baseline"/>
              <w:rPr>
                <w:i/>
                <w:lang w:val="en-GB"/>
              </w:rPr>
            </w:pPr>
            <w:r w:rsidRPr="00910C90">
              <w:rPr>
                <w:i/>
                <w:lang w:val="en-GB"/>
              </w:rPr>
              <w:t>Tel.</w:t>
            </w:r>
          </w:p>
        </w:tc>
        <w:tc>
          <w:tcPr>
            <w:tcW w:w="7512" w:type="dxa"/>
          </w:tcPr>
          <w:p w:rsidRPr="00910C90" w:rsidR="00910C90" w:rsidP="00BE1F8F" w:rsidRDefault="00910C90" w14:paraId="6BD9772E" w14:textId="77777777">
            <w:pPr>
              <w:overflowPunct w:val="0"/>
              <w:autoSpaceDE w:val="0"/>
              <w:autoSpaceDN w:val="0"/>
              <w:adjustRightInd w:val="0"/>
              <w:textAlignment w:val="baseline"/>
              <w:rPr>
                <w:i/>
                <w:lang w:val="en-GB"/>
              </w:rPr>
            </w:pPr>
            <w:r w:rsidRPr="00910C90">
              <w:rPr>
                <w:i/>
                <w:lang w:val="en-GB"/>
              </w:rPr>
              <w:t>+32 25469162</w:t>
            </w:r>
          </w:p>
        </w:tc>
      </w:tr>
      <w:tr w:rsidRPr="00910C90" w:rsidR="00910C90" w:rsidTr="00713105" w14:paraId="378A4268" w14:textId="77777777">
        <w:tc>
          <w:tcPr>
            <w:tcW w:w="1668" w:type="dxa"/>
          </w:tcPr>
          <w:p w:rsidRPr="00910C90" w:rsidR="00910C90" w:rsidP="00BE1F8F" w:rsidRDefault="00910C90" w14:paraId="67D2B1A7" w14:textId="5316AB28">
            <w:pPr>
              <w:overflowPunct w:val="0"/>
              <w:autoSpaceDE w:val="0"/>
              <w:autoSpaceDN w:val="0"/>
              <w:adjustRightInd w:val="0"/>
              <w:textAlignment w:val="baseline"/>
              <w:rPr>
                <w:i/>
                <w:lang w:val="en-GB"/>
              </w:rPr>
            </w:pPr>
            <w:r w:rsidRPr="00910C90">
              <w:rPr>
                <w:i/>
                <w:lang w:val="en-GB"/>
              </w:rPr>
              <w:t>Email</w:t>
            </w:r>
          </w:p>
        </w:tc>
        <w:tc>
          <w:tcPr>
            <w:tcW w:w="7512" w:type="dxa"/>
          </w:tcPr>
          <w:p w:rsidRPr="00910C90" w:rsidR="00910C90" w:rsidP="00BE1F8F" w:rsidRDefault="002C4029" w14:paraId="18F62F88" w14:textId="03616BAE">
            <w:pPr>
              <w:overflowPunct w:val="0"/>
              <w:autoSpaceDE w:val="0"/>
              <w:autoSpaceDN w:val="0"/>
              <w:adjustRightInd w:val="0"/>
              <w:textAlignment w:val="baseline"/>
              <w:rPr>
                <w:i/>
                <w:iCs/>
                <w:lang w:val="en-GB"/>
              </w:rPr>
            </w:pPr>
            <w:hyperlink w:history="1" r:id="rId34">
              <w:r w:rsidRPr="00910C90" w:rsidR="00910C90">
                <w:rPr>
                  <w:i/>
                  <w:iCs/>
                  <w:color w:val="0000FF"/>
                  <w:u w:val="single"/>
                  <w:lang w:val="en-GB"/>
                </w:rPr>
                <w:t>Gabriela.Grasu@eesc.europa.eu</w:t>
              </w:r>
            </w:hyperlink>
          </w:p>
        </w:tc>
      </w:tr>
    </w:tbl>
    <w:p w:rsidR="00D5795F" w:rsidP="00BE1F8F" w:rsidRDefault="00D5795F" w14:paraId="0F5B3C36" w14:textId="77777777">
      <w:pPr>
        <w:jc w:val="left"/>
        <w:rPr>
          <w:lang w:val="en-GB"/>
        </w:rPr>
      </w:pPr>
      <w:r>
        <w:rPr>
          <w:lang w:val="en-GB"/>
        </w:rPr>
        <w:br w:type="page"/>
      </w:r>
    </w:p>
    <w:p w:rsidRPr="00713105" w:rsidR="00981AAC" w:rsidP="00BE1F8F" w:rsidRDefault="00981AAC" w14:paraId="48226001" w14:textId="27B0F9D8">
      <w:pPr>
        <w:widowControl w:val="0"/>
        <w:numPr>
          <w:ilvl w:val="0"/>
          <w:numId w:val="2"/>
        </w:numPr>
        <w:overflowPunct w:val="0"/>
        <w:autoSpaceDE w:val="0"/>
        <w:autoSpaceDN w:val="0"/>
        <w:adjustRightInd w:val="0"/>
        <w:ind w:hanging="567"/>
        <w:textAlignment w:val="baseline"/>
      </w:pPr>
      <w:r w:rsidRPr="00981AAC">
        <w:rPr>
          <w:b/>
          <w:bCs/>
          <w:i/>
          <w:iCs/>
          <w:sz w:val="28"/>
          <w:szCs w:val="28"/>
        </w:rPr>
        <w:fldChar w:fldCharType="begin"/>
      </w:r>
      <w:r w:rsidRPr="00981AAC">
        <w:rPr>
          <w:b/>
          <w:bCs/>
          <w:i/>
          <w:iCs/>
          <w:sz w:val="28"/>
          <w:szCs w:val="28"/>
        </w:rPr>
        <w:instrText>HYPERLINK "https://www.eesc.europa.eu/en/our-work/opinions-information-reports/opinions/older-people-employment-systemic-factors-choosing-work-longer"</w:instrText>
      </w:r>
      <w:r w:rsidRPr="00981AAC">
        <w:rPr>
          <w:b/>
          <w:bCs/>
          <w:i/>
          <w:iCs/>
          <w:sz w:val="28"/>
          <w:szCs w:val="28"/>
        </w:rPr>
        <w:fldChar w:fldCharType="separate"/>
      </w:r>
      <w:r w:rsidRPr="00981AAC">
        <w:rPr>
          <w:b/>
          <w:bCs/>
          <w:i/>
          <w:iCs/>
          <w:color w:val="0000FF"/>
          <w:sz w:val="28"/>
          <w:szCs w:val="28"/>
          <w:u w:val="single"/>
        </w:rPr>
        <w:t>Older people in employment – systemic factors in choosing to work for longer</w:t>
      </w:r>
    </w:p>
    <w:p w:rsidRPr="00C77862" w:rsidR="00981AAC" w:rsidP="00BE1F8F" w:rsidRDefault="00981AAC" w14:paraId="69C9F195" w14:textId="77777777">
      <w:pPr>
        <w:widowControl w:val="0"/>
        <w:overflowPunct w:val="0"/>
        <w:autoSpaceDE w:val="0"/>
        <w:autoSpaceDN w:val="0"/>
        <w:adjustRightInd w:val="0"/>
        <w:ind w:left="567"/>
        <w:textAlignment w:val="baseline"/>
        <w:rPr>
          <w:b/>
          <w:bCs/>
          <w:i/>
          <w:iCs/>
          <w:sz w:val="20"/>
          <w:szCs w:val="20"/>
        </w:rPr>
      </w:pPr>
      <w:r w:rsidRPr="00981AAC">
        <w:rPr>
          <w:b/>
          <w:bCs/>
          <w:i/>
          <w:iCs/>
          <w:sz w:val="28"/>
          <w:szCs w:val="28"/>
        </w:rPr>
        <w:fldChar w:fldCharType="end"/>
      </w:r>
    </w:p>
    <w:tbl>
      <w:tblPr>
        <w:tblW w:w="5000" w:type="pct"/>
        <w:tblLook w:val="04A0" w:firstRow="1" w:lastRow="0" w:firstColumn="1" w:lastColumn="0" w:noHBand="0" w:noVBand="1"/>
      </w:tblPr>
      <w:tblGrid>
        <w:gridCol w:w="1668"/>
        <w:gridCol w:w="7619"/>
      </w:tblGrid>
      <w:tr w:rsidRPr="00652335" w:rsidR="00981AAC" w:rsidTr="00713105" w14:paraId="564BEBA9" w14:textId="77777777">
        <w:tc>
          <w:tcPr>
            <w:tcW w:w="898" w:type="pct"/>
          </w:tcPr>
          <w:p w:rsidRPr="00C43D3E" w:rsidR="00981AAC" w:rsidP="00BE1F8F" w:rsidRDefault="00981AAC" w14:paraId="0345DE90" w14:textId="77777777">
            <w:pPr>
              <w:overflowPunct w:val="0"/>
              <w:autoSpaceDE w:val="0"/>
              <w:autoSpaceDN w:val="0"/>
              <w:adjustRightInd w:val="0"/>
              <w:ind w:left="-113"/>
              <w:textAlignment w:val="baseline"/>
              <w:rPr>
                <w:b/>
              </w:rPr>
            </w:pPr>
            <w:r w:rsidRPr="00652335">
              <w:rPr>
                <w:b/>
              </w:rPr>
              <w:t>Rapporteur</w:t>
            </w:r>
          </w:p>
        </w:tc>
        <w:tc>
          <w:tcPr>
            <w:tcW w:w="4102" w:type="pct"/>
          </w:tcPr>
          <w:p w:rsidRPr="00C43D3E" w:rsidR="00382A22" w:rsidP="00BE1F8F" w:rsidRDefault="00981AAC" w14:paraId="2A77F056" w14:textId="351CBDDF">
            <w:pPr>
              <w:tabs>
                <w:tab w:val="left" w:pos="4572"/>
              </w:tabs>
              <w:overflowPunct w:val="0"/>
              <w:autoSpaceDE w:val="0"/>
              <w:autoSpaceDN w:val="0"/>
              <w:adjustRightInd w:val="0"/>
              <w:ind w:left="-113" w:right="-823"/>
              <w:textAlignment w:val="baseline"/>
              <w:rPr>
                <w:lang w:val="en-GB"/>
              </w:rPr>
            </w:pPr>
            <w:r w:rsidRPr="00652335">
              <w:rPr>
                <w:lang w:val="en-GB"/>
              </w:rPr>
              <w:t>Krzysztof BALON (Civil Society Organisations' Group - PL)</w:t>
            </w:r>
          </w:p>
        </w:tc>
      </w:tr>
      <w:tr w:rsidRPr="00652335" w:rsidR="00981AAC" w:rsidTr="00713105" w14:paraId="3AF74D98" w14:textId="77777777">
        <w:tc>
          <w:tcPr>
            <w:tcW w:w="898" w:type="pct"/>
          </w:tcPr>
          <w:p w:rsidRPr="00C43D3E" w:rsidR="00981AAC" w:rsidP="00BE1F8F" w:rsidRDefault="00981AAC" w14:paraId="399C89C3" w14:textId="7F5F6409">
            <w:pPr>
              <w:overflowPunct w:val="0"/>
              <w:autoSpaceDE w:val="0"/>
              <w:autoSpaceDN w:val="0"/>
              <w:adjustRightInd w:val="0"/>
              <w:ind w:left="-113"/>
              <w:textAlignment w:val="baseline"/>
              <w:rPr>
                <w:b/>
              </w:rPr>
            </w:pPr>
            <w:r w:rsidRPr="00652335">
              <w:rPr>
                <w:b/>
              </w:rPr>
              <w:t>Reference</w:t>
            </w:r>
          </w:p>
        </w:tc>
        <w:tc>
          <w:tcPr>
            <w:tcW w:w="4102" w:type="pct"/>
          </w:tcPr>
          <w:p w:rsidRPr="00C43D3E" w:rsidR="00382A22" w:rsidP="00BE1F8F" w:rsidRDefault="00382A22" w14:paraId="15365992" w14:textId="791A85F1">
            <w:pPr>
              <w:tabs>
                <w:tab w:val="left" w:pos="4430"/>
              </w:tabs>
              <w:overflowPunct w:val="0"/>
              <w:autoSpaceDE w:val="0"/>
              <w:autoSpaceDN w:val="0"/>
              <w:adjustRightInd w:val="0"/>
              <w:ind w:left="-113" w:right="-823"/>
              <w:textAlignment w:val="baseline"/>
            </w:pPr>
            <w:r w:rsidRPr="00652335">
              <w:t>Exploratory opinion requested by the Polish Presidency of the Council of the EU</w:t>
            </w:r>
          </w:p>
          <w:p w:rsidRPr="00C43D3E" w:rsidR="00981AAC" w:rsidP="00BE1F8F" w:rsidRDefault="00981AAC" w14:paraId="455DCFBD" w14:textId="0C759088">
            <w:pPr>
              <w:tabs>
                <w:tab w:val="left" w:pos="4430"/>
              </w:tabs>
              <w:overflowPunct w:val="0"/>
              <w:autoSpaceDE w:val="0"/>
              <w:autoSpaceDN w:val="0"/>
              <w:adjustRightInd w:val="0"/>
              <w:ind w:left="-113" w:right="-823"/>
              <w:textAlignment w:val="baseline"/>
            </w:pPr>
            <w:r w:rsidRPr="00652335">
              <w:t>EESC-2024-03788-00-00-AC</w:t>
            </w:r>
          </w:p>
        </w:tc>
      </w:tr>
    </w:tbl>
    <w:p w:rsidR="00652335" w:rsidP="00BE1F8F" w:rsidRDefault="00652335" w14:paraId="789D81F8" w14:textId="77777777">
      <w:pPr>
        <w:keepNext/>
        <w:keepLines/>
        <w:tabs>
          <w:tab w:val="center" w:pos="284"/>
        </w:tabs>
        <w:overflowPunct w:val="0"/>
        <w:autoSpaceDE w:val="0"/>
        <w:autoSpaceDN w:val="0"/>
        <w:adjustRightInd w:val="0"/>
        <w:ind w:left="266" w:hanging="266"/>
        <w:textAlignment w:val="baseline"/>
        <w:rPr>
          <w:b/>
          <w:lang w:val="en-GB"/>
        </w:rPr>
      </w:pPr>
    </w:p>
    <w:p w:rsidRPr="00981AAC" w:rsidR="00981AAC" w:rsidP="00BE1F8F" w:rsidRDefault="00981AAC" w14:paraId="4B8CB502" w14:textId="1F116006">
      <w:pPr>
        <w:keepNext/>
        <w:keepLines/>
        <w:tabs>
          <w:tab w:val="center" w:pos="284"/>
        </w:tabs>
        <w:overflowPunct w:val="0"/>
        <w:autoSpaceDE w:val="0"/>
        <w:autoSpaceDN w:val="0"/>
        <w:adjustRightInd w:val="0"/>
        <w:ind w:left="266" w:hanging="266"/>
        <w:textAlignment w:val="baseline"/>
        <w:rPr>
          <w:b/>
          <w:lang w:val="en-GB"/>
        </w:rPr>
      </w:pPr>
      <w:r w:rsidRPr="00981AAC">
        <w:rPr>
          <w:b/>
          <w:lang w:val="en-GB"/>
        </w:rPr>
        <w:t>Key points</w:t>
      </w:r>
    </w:p>
    <w:p w:rsidRPr="00981AAC" w:rsidR="00981AAC" w:rsidP="00BE1F8F" w:rsidRDefault="00981AAC" w14:paraId="7008E7DD" w14:textId="77777777">
      <w:pPr>
        <w:keepNext/>
        <w:keepLines/>
        <w:tabs>
          <w:tab w:val="center" w:pos="284"/>
        </w:tabs>
        <w:overflowPunct w:val="0"/>
        <w:autoSpaceDE w:val="0"/>
        <w:autoSpaceDN w:val="0"/>
        <w:adjustRightInd w:val="0"/>
        <w:ind w:left="266" w:hanging="266"/>
        <w:textAlignment w:val="baseline"/>
        <w:rPr>
          <w:b/>
          <w:lang w:val="en-GB"/>
        </w:rPr>
      </w:pPr>
    </w:p>
    <w:p w:rsidRPr="00981AAC" w:rsidR="00E83667" w:rsidP="00BE1F8F" w:rsidRDefault="00981AAC" w14:paraId="7F206CE5" w14:textId="098D975F">
      <w:pPr>
        <w:keepNext/>
        <w:keepLines/>
        <w:tabs>
          <w:tab w:val="center" w:pos="284"/>
        </w:tabs>
        <w:overflowPunct w:val="0"/>
        <w:autoSpaceDE w:val="0"/>
        <w:autoSpaceDN w:val="0"/>
        <w:adjustRightInd w:val="0"/>
        <w:ind w:left="266" w:hanging="266"/>
        <w:textAlignment w:val="baseline"/>
        <w:rPr>
          <w:szCs w:val="20"/>
          <w:lang w:val="en-GB"/>
        </w:rPr>
      </w:pPr>
      <w:r w:rsidRPr="00981AAC">
        <w:rPr>
          <w:szCs w:val="20"/>
          <w:lang w:val="en-GB"/>
        </w:rPr>
        <w:t>The EESC:</w:t>
      </w:r>
    </w:p>
    <w:p w:rsidRPr="00981AAC" w:rsidR="00981AAC" w:rsidP="00713105" w:rsidRDefault="00981AAC" w14:paraId="3311126F" w14:textId="77777777">
      <w:pPr>
        <w:pStyle w:val="ListParagraph"/>
        <w:numPr>
          <w:ilvl w:val="0"/>
          <w:numId w:val="42"/>
        </w:numPr>
        <w:ind w:left="567" w:hanging="567"/>
        <w:rPr>
          <w:lang w:val="en-GB"/>
        </w:rPr>
      </w:pPr>
      <w:bookmarkStart w:name="_Toc191974009" w:id="12"/>
      <w:r w:rsidRPr="00981AAC">
        <w:rPr>
          <w:lang w:val="en-GB"/>
        </w:rPr>
        <w:t xml:space="preserve">shares the view of the Polish Presidency of the Council of the European Union that the </w:t>
      </w:r>
      <w:r w:rsidRPr="00981AAC">
        <w:rPr>
          <w:b/>
          <w:bCs/>
          <w:lang w:val="en-GB"/>
        </w:rPr>
        <w:t xml:space="preserve">professional activation </w:t>
      </w:r>
      <w:r w:rsidRPr="00C43D3E">
        <w:rPr>
          <w:lang w:val="en-GB"/>
        </w:rPr>
        <w:t>of</w:t>
      </w:r>
      <w:r w:rsidRPr="00981AAC">
        <w:rPr>
          <w:b/>
          <w:bCs/>
          <w:lang w:val="en-GB"/>
        </w:rPr>
        <w:t xml:space="preserve"> older people</w:t>
      </w:r>
      <w:r w:rsidRPr="00981AAC">
        <w:rPr>
          <w:lang w:val="en-GB"/>
        </w:rPr>
        <w:t xml:space="preserve"> has become one of the </w:t>
      </w:r>
      <w:r w:rsidRPr="00981AAC">
        <w:rPr>
          <w:b/>
          <w:bCs/>
          <w:lang w:val="en-GB"/>
        </w:rPr>
        <w:t>key challenges for public policy</w:t>
      </w:r>
      <w:r w:rsidRPr="00981AAC">
        <w:rPr>
          <w:lang w:val="en-GB"/>
        </w:rPr>
        <w:t xml:space="preserve">. Since the average healthy life expectancy is increasing in the EU, the </w:t>
      </w:r>
      <w:r w:rsidRPr="00981AAC">
        <w:rPr>
          <w:b/>
          <w:bCs/>
          <w:lang w:val="en-GB"/>
        </w:rPr>
        <w:t>professional activity of older people</w:t>
      </w:r>
      <w:r w:rsidRPr="00981AAC">
        <w:rPr>
          <w:lang w:val="en-GB"/>
        </w:rPr>
        <w:t xml:space="preserve"> has the potential to </w:t>
      </w:r>
      <w:r w:rsidRPr="00981AAC">
        <w:rPr>
          <w:b/>
          <w:bCs/>
          <w:lang w:val="en-GB"/>
        </w:rPr>
        <w:t>positively influence</w:t>
      </w:r>
      <w:r w:rsidRPr="00981AAC">
        <w:rPr>
          <w:lang w:val="en-GB"/>
        </w:rPr>
        <w:t xml:space="preserve"> not only the </w:t>
      </w:r>
      <w:r w:rsidRPr="00981AAC">
        <w:rPr>
          <w:b/>
          <w:bCs/>
          <w:lang w:val="en-GB"/>
        </w:rPr>
        <w:t>economic development</w:t>
      </w:r>
      <w:r w:rsidRPr="00981AAC">
        <w:rPr>
          <w:lang w:val="en-GB"/>
        </w:rPr>
        <w:t xml:space="preserve">, but also </w:t>
      </w:r>
      <w:r w:rsidRPr="00981AAC">
        <w:rPr>
          <w:b/>
          <w:bCs/>
          <w:lang w:val="en-GB"/>
        </w:rPr>
        <w:t>their well-being</w:t>
      </w:r>
      <w:r w:rsidRPr="00981AAC">
        <w:rPr>
          <w:lang w:val="en-GB"/>
        </w:rPr>
        <w:t xml:space="preserve"> through better </w:t>
      </w:r>
      <w:r w:rsidRPr="00981AAC">
        <w:rPr>
          <w:b/>
          <w:bCs/>
          <w:lang w:val="en-GB"/>
        </w:rPr>
        <w:t>financial</w:t>
      </w:r>
      <w:r w:rsidRPr="00981AAC">
        <w:rPr>
          <w:lang w:val="en-GB"/>
        </w:rPr>
        <w:t xml:space="preserve">, </w:t>
      </w:r>
      <w:r w:rsidRPr="00981AAC">
        <w:rPr>
          <w:b/>
          <w:bCs/>
          <w:lang w:val="en-GB"/>
        </w:rPr>
        <w:t>social</w:t>
      </w:r>
      <w:r w:rsidRPr="00981AAC">
        <w:rPr>
          <w:lang w:val="en-GB"/>
        </w:rPr>
        <w:t xml:space="preserve"> and </w:t>
      </w:r>
      <w:r w:rsidRPr="00981AAC">
        <w:rPr>
          <w:b/>
          <w:bCs/>
          <w:lang w:val="en-GB"/>
        </w:rPr>
        <w:t>health conditions</w:t>
      </w:r>
      <w:r w:rsidRPr="00981AAC">
        <w:rPr>
          <w:lang w:val="en-GB"/>
        </w:rPr>
        <w:t>, as well as intergenerational solidarity in society;</w:t>
      </w:r>
      <w:bookmarkEnd w:id="12"/>
    </w:p>
    <w:p w:rsidRPr="00652335" w:rsidR="00981AAC" w:rsidP="00713105" w:rsidRDefault="00981AAC" w14:paraId="30FD09FC" w14:textId="77777777">
      <w:pPr>
        <w:pStyle w:val="ListParagraph"/>
        <w:numPr>
          <w:ilvl w:val="0"/>
          <w:numId w:val="42"/>
        </w:numPr>
        <w:ind w:left="567" w:hanging="567"/>
        <w:rPr>
          <w:lang w:val="en-GB"/>
        </w:rPr>
      </w:pPr>
      <w:bookmarkStart w:name="_Toc191974010" w:id="13"/>
      <w:r w:rsidRPr="00652335">
        <w:rPr>
          <w:lang w:val="en-GB"/>
        </w:rPr>
        <w:t xml:space="preserve">notes that the </w:t>
      </w:r>
      <w:r w:rsidRPr="00652335">
        <w:rPr>
          <w:b/>
          <w:bCs/>
          <w:lang w:val="en-GB"/>
        </w:rPr>
        <w:t>15th principle of the European Pillar of Social Rights</w:t>
      </w:r>
      <w:r w:rsidRPr="00652335">
        <w:rPr>
          <w:lang w:val="en-GB"/>
        </w:rPr>
        <w:t xml:space="preserve"> (the right to a pension commensurate to their contributions and ensuring an adequate income to a dignified life in old age) </w:t>
      </w:r>
      <w:r w:rsidRPr="00652335">
        <w:rPr>
          <w:b/>
          <w:bCs/>
          <w:lang w:val="en-GB"/>
        </w:rPr>
        <w:t>should be fully implemented</w:t>
      </w:r>
      <w:r w:rsidRPr="00652335">
        <w:rPr>
          <w:lang w:val="en-GB"/>
        </w:rPr>
        <w:t>;</w:t>
      </w:r>
      <w:bookmarkEnd w:id="13"/>
    </w:p>
    <w:p w:rsidRPr="00652335" w:rsidR="00981AAC" w:rsidP="00713105" w:rsidRDefault="00981AAC" w14:paraId="7674E455" w14:textId="77777777">
      <w:pPr>
        <w:pStyle w:val="ListParagraph"/>
        <w:numPr>
          <w:ilvl w:val="0"/>
          <w:numId w:val="42"/>
        </w:numPr>
        <w:ind w:left="567" w:hanging="567"/>
        <w:rPr>
          <w:lang w:val="en-GB"/>
        </w:rPr>
      </w:pPr>
      <w:bookmarkStart w:name="_Toc191974011" w:id="14"/>
      <w:r w:rsidRPr="00652335">
        <w:rPr>
          <w:lang w:val="en-GB"/>
        </w:rPr>
        <w:t xml:space="preserve">points out that the </w:t>
      </w:r>
      <w:r w:rsidRPr="00652335">
        <w:rPr>
          <w:b/>
          <w:bCs/>
          <w:lang w:val="en-GB"/>
        </w:rPr>
        <w:t>creation of quality jobs</w:t>
      </w:r>
      <w:r w:rsidRPr="00652335">
        <w:rPr>
          <w:lang w:val="en-GB"/>
        </w:rPr>
        <w:t xml:space="preserve"> with a </w:t>
      </w:r>
      <w:r w:rsidRPr="00652335">
        <w:rPr>
          <w:b/>
          <w:bCs/>
          <w:lang w:val="en-GB"/>
        </w:rPr>
        <w:t>working environme</w:t>
      </w:r>
      <w:r w:rsidRPr="00652335">
        <w:rPr>
          <w:lang w:val="en-GB"/>
        </w:rPr>
        <w:t xml:space="preserve">nt that encourages all age groups to </w:t>
      </w:r>
      <w:r w:rsidRPr="00652335">
        <w:rPr>
          <w:b/>
          <w:bCs/>
          <w:lang w:val="en-GB"/>
        </w:rPr>
        <w:t>enter and stay on the labour market</w:t>
      </w:r>
      <w:r w:rsidRPr="00652335">
        <w:rPr>
          <w:lang w:val="en-GB"/>
        </w:rPr>
        <w:t xml:space="preserve"> is an important aspect.</w:t>
      </w:r>
      <w:bookmarkEnd w:id="14"/>
      <w:r w:rsidRPr="00652335">
        <w:rPr>
          <w:lang w:val="en-GB"/>
        </w:rPr>
        <w:t xml:space="preserve"> </w:t>
      </w:r>
    </w:p>
    <w:p w:rsidRPr="00652335" w:rsidR="00981AAC" w:rsidP="00713105" w:rsidRDefault="00981AAC" w14:paraId="7D687E45" w14:textId="77777777">
      <w:pPr>
        <w:pStyle w:val="ListParagraph"/>
        <w:numPr>
          <w:ilvl w:val="0"/>
          <w:numId w:val="41"/>
        </w:numPr>
        <w:ind w:left="567" w:hanging="567"/>
        <w:rPr>
          <w:lang w:val="en-GB"/>
        </w:rPr>
      </w:pPr>
      <w:bookmarkStart w:name="_Toc191974012" w:id="15"/>
      <w:r w:rsidRPr="00652335">
        <w:rPr>
          <w:lang w:val="en-GB"/>
        </w:rPr>
        <w:t xml:space="preserve">notes that another factor in increasing the employment of older people is the </w:t>
      </w:r>
      <w:r w:rsidRPr="00652335">
        <w:rPr>
          <w:b/>
          <w:bCs/>
          <w:lang w:val="en-GB"/>
        </w:rPr>
        <w:t>creation of multi-generational work teams</w:t>
      </w:r>
      <w:r w:rsidRPr="00652335">
        <w:rPr>
          <w:lang w:val="en-GB"/>
        </w:rPr>
        <w:t xml:space="preserve"> and </w:t>
      </w:r>
      <w:r w:rsidRPr="00652335">
        <w:rPr>
          <w:b/>
          <w:bCs/>
          <w:lang w:val="en-GB"/>
        </w:rPr>
        <w:t>repeats</w:t>
      </w:r>
      <w:r w:rsidRPr="00652335">
        <w:rPr>
          <w:lang w:val="en-GB"/>
        </w:rPr>
        <w:t xml:space="preserve"> its request to the </w:t>
      </w:r>
      <w:r w:rsidRPr="00652335">
        <w:rPr>
          <w:b/>
          <w:bCs/>
          <w:lang w:val="en-GB"/>
        </w:rPr>
        <w:t>European Commission</w:t>
      </w:r>
      <w:r w:rsidRPr="00652335">
        <w:rPr>
          <w:lang w:val="en-GB"/>
        </w:rPr>
        <w:t xml:space="preserve"> to adopt a </w:t>
      </w:r>
      <w:r w:rsidRPr="00652335">
        <w:rPr>
          <w:b/>
          <w:bCs/>
          <w:lang w:val="en-GB"/>
        </w:rPr>
        <w:t>recommendation</w:t>
      </w:r>
      <w:r w:rsidRPr="00652335">
        <w:rPr>
          <w:lang w:val="en-GB"/>
        </w:rPr>
        <w:t xml:space="preserve"> calling on the Member States</w:t>
      </w:r>
      <w:r w:rsidRPr="00652335">
        <w:rPr>
          <w:b/>
          <w:bCs/>
          <w:lang w:val="en-GB"/>
        </w:rPr>
        <w:t xml:space="preserve"> to ensure the presence of workers from different generations and their cooperation in the workplace</w:t>
      </w:r>
      <w:r w:rsidRPr="00652335">
        <w:rPr>
          <w:lang w:val="en-GB"/>
        </w:rPr>
        <w:t>;</w:t>
      </w:r>
      <w:bookmarkEnd w:id="15"/>
    </w:p>
    <w:p w:rsidRPr="00652335" w:rsidR="00981AAC" w:rsidP="00713105" w:rsidRDefault="00981AAC" w14:paraId="2CC124C3" w14:textId="77777777">
      <w:pPr>
        <w:pStyle w:val="ListParagraph"/>
        <w:numPr>
          <w:ilvl w:val="0"/>
          <w:numId w:val="40"/>
        </w:numPr>
        <w:ind w:left="567" w:hanging="567"/>
        <w:rPr>
          <w:lang w:val="en-GB"/>
        </w:rPr>
      </w:pPr>
      <w:bookmarkStart w:name="_Toc191974013" w:id="16"/>
      <w:r w:rsidRPr="00652335">
        <w:rPr>
          <w:lang w:val="en-GB"/>
        </w:rPr>
        <w:t xml:space="preserve">points out that instruments that support the employment of older people include: (a) </w:t>
      </w:r>
      <w:r w:rsidRPr="00652335">
        <w:rPr>
          <w:b/>
          <w:bCs/>
          <w:lang w:val="en-GB"/>
        </w:rPr>
        <w:t>creating an enabling working environment</w:t>
      </w:r>
      <w:r w:rsidRPr="00652335">
        <w:rPr>
          <w:lang w:val="en-GB"/>
        </w:rPr>
        <w:t xml:space="preserve"> that encourages seniors to stay longer on the labour market where they wish to do so, (b) </w:t>
      </w:r>
      <w:r w:rsidRPr="00652335">
        <w:rPr>
          <w:b/>
          <w:bCs/>
          <w:lang w:val="en-GB"/>
        </w:rPr>
        <w:t>maintaining and increasing qualifications</w:t>
      </w:r>
      <w:r w:rsidRPr="00652335">
        <w:rPr>
          <w:lang w:val="en-GB"/>
        </w:rPr>
        <w:t xml:space="preserve"> through </w:t>
      </w:r>
      <w:r w:rsidRPr="00652335">
        <w:rPr>
          <w:b/>
          <w:bCs/>
          <w:lang w:val="en-GB"/>
        </w:rPr>
        <w:t>lifelong learning policies</w:t>
      </w:r>
      <w:r w:rsidRPr="00652335">
        <w:rPr>
          <w:lang w:val="en-GB"/>
        </w:rPr>
        <w:t xml:space="preserve">, (c) measures which allow the </w:t>
      </w:r>
      <w:r w:rsidRPr="00652335">
        <w:rPr>
          <w:b/>
          <w:bCs/>
          <w:lang w:val="en-GB"/>
        </w:rPr>
        <w:t>combination of work and care responsibilities</w:t>
      </w:r>
      <w:r w:rsidRPr="00652335">
        <w:rPr>
          <w:lang w:val="en-GB"/>
        </w:rPr>
        <w:t xml:space="preserve"> for elderly relatives (d) </w:t>
      </w:r>
      <w:r w:rsidRPr="00652335">
        <w:rPr>
          <w:b/>
          <w:bCs/>
          <w:lang w:val="en-GB"/>
        </w:rPr>
        <w:t>promoting longer working lives</w:t>
      </w:r>
      <w:r w:rsidRPr="00652335">
        <w:rPr>
          <w:lang w:val="en-GB"/>
        </w:rPr>
        <w:t xml:space="preserve">, and (e) </w:t>
      </w:r>
      <w:r w:rsidRPr="00652335">
        <w:rPr>
          <w:b/>
          <w:bCs/>
          <w:lang w:val="en-GB"/>
        </w:rPr>
        <w:t>combatting age related discrimination</w:t>
      </w:r>
      <w:r w:rsidRPr="00652335">
        <w:rPr>
          <w:lang w:val="en-GB"/>
        </w:rPr>
        <w:t xml:space="preserve"> and other factors that prevent older workers from remaining in the labour market. Social economy entities, civil society organisations and social partners have a key role to play in all of these areas;</w:t>
      </w:r>
      <w:bookmarkEnd w:id="16"/>
    </w:p>
    <w:p w:rsidRPr="00652335" w:rsidR="00981AAC" w:rsidP="00713105" w:rsidRDefault="00981AAC" w14:paraId="08AC24E2" w14:textId="77777777">
      <w:pPr>
        <w:pStyle w:val="ListParagraph"/>
        <w:numPr>
          <w:ilvl w:val="0"/>
          <w:numId w:val="39"/>
        </w:numPr>
        <w:ind w:left="567" w:hanging="567"/>
        <w:rPr>
          <w:lang w:val="en-GB"/>
        </w:rPr>
      </w:pPr>
      <w:bookmarkStart w:name="_Toc191974014" w:id="17"/>
      <w:r w:rsidRPr="00652335">
        <w:rPr>
          <w:lang w:val="en-GB"/>
        </w:rPr>
        <w:t xml:space="preserve">suggests that the </w:t>
      </w:r>
      <w:r w:rsidRPr="00652335">
        <w:rPr>
          <w:b/>
          <w:bCs/>
          <w:lang w:val="en-GB"/>
        </w:rPr>
        <w:t>European Commission</w:t>
      </w:r>
      <w:r w:rsidRPr="00652335">
        <w:rPr>
          <w:lang w:val="en-GB"/>
        </w:rPr>
        <w:t xml:space="preserve">, in cooperation with the EESC, social partners and other civil society organisations, </w:t>
      </w:r>
      <w:r w:rsidRPr="00652335">
        <w:rPr>
          <w:b/>
          <w:bCs/>
          <w:lang w:val="en-GB"/>
        </w:rPr>
        <w:t>creates a forum for the exchange of good practices</w:t>
      </w:r>
      <w:r w:rsidRPr="00652335">
        <w:rPr>
          <w:lang w:val="en-GB"/>
        </w:rPr>
        <w:t xml:space="preserve"> between Member States and thereafter, taking into account the results of the forum’s discussions, a "toolbox" of best practices may be published by the European Commission.</w:t>
      </w:r>
      <w:bookmarkEnd w:id="17"/>
    </w:p>
    <w:p w:rsidRPr="00981AAC" w:rsidR="00981AAC" w:rsidP="00BE1F8F" w:rsidRDefault="00981AAC" w14:paraId="4F0FB5FC" w14:textId="77777777">
      <w:pPr>
        <w:overflowPunct w:val="0"/>
        <w:autoSpaceDE w:val="0"/>
        <w:autoSpaceDN w:val="0"/>
        <w:adjustRightInd w:val="0"/>
        <w:textAlignment w:val="baseline"/>
        <w:rPr>
          <w:szCs w:val="20"/>
          <w:lang w:val="en-GB"/>
        </w:rPr>
      </w:pPr>
    </w:p>
    <w:tbl>
      <w:tblPr>
        <w:tblW w:w="4941" w:type="pct"/>
        <w:tblLook w:val="04A0" w:firstRow="1" w:lastRow="0" w:firstColumn="1" w:lastColumn="0" w:noHBand="0" w:noVBand="1"/>
      </w:tblPr>
      <w:tblGrid>
        <w:gridCol w:w="1668"/>
        <w:gridCol w:w="7509"/>
      </w:tblGrid>
      <w:tr w:rsidRPr="00981AAC" w:rsidR="00981AAC" w:rsidTr="00713105" w14:paraId="561BB3E5" w14:textId="77777777">
        <w:tc>
          <w:tcPr>
            <w:tcW w:w="909" w:type="pct"/>
          </w:tcPr>
          <w:p w:rsidRPr="00981AAC" w:rsidR="00981AAC" w:rsidP="00BE1F8F" w:rsidRDefault="00981AAC" w14:paraId="28C5741E" w14:textId="77777777">
            <w:pPr>
              <w:overflowPunct w:val="0"/>
              <w:autoSpaceDE w:val="0"/>
              <w:autoSpaceDN w:val="0"/>
              <w:adjustRightInd w:val="0"/>
              <w:textAlignment w:val="baseline"/>
              <w:rPr>
                <w:i/>
              </w:rPr>
            </w:pPr>
            <w:r w:rsidRPr="00981AAC">
              <w:rPr>
                <w:b/>
                <w:i/>
              </w:rPr>
              <w:t>Contact</w:t>
            </w:r>
          </w:p>
        </w:tc>
        <w:tc>
          <w:tcPr>
            <w:tcW w:w="4091" w:type="pct"/>
          </w:tcPr>
          <w:p w:rsidRPr="00981AAC" w:rsidR="00981AAC" w:rsidP="00BE1F8F" w:rsidRDefault="00981AAC" w14:paraId="3A046822" w14:textId="6C427D2F">
            <w:pPr>
              <w:overflowPunct w:val="0"/>
              <w:autoSpaceDE w:val="0"/>
              <w:autoSpaceDN w:val="0"/>
              <w:adjustRightInd w:val="0"/>
              <w:textAlignment w:val="baseline"/>
              <w:rPr>
                <w:i/>
              </w:rPr>
            </w:pPr>
            <w:r w:rsidRPr="00981AAC">
              <w:rPr>
                <w:i/>
              </w:rPr>
              <w:t>Triin A</w:t>
            </w:r>
            <w:r w:rsidRPr="00981AAC" w:rsidR="00A26A65">
              <w:rPr>
                <w:i/>
              </w:rPr>
              <w:t>asmaa</w:t>
            </w:r>
            <w:r w:rsidRPr="00981AAC">
              <w:rPr>
                <w:i/>
              </w:rPr>
              <w:t xml:space="preserve"> G</w:t>
            </w:r>
            <w:r w:rsidRPr="00981AAC" w:rsidR="00A26A65">
              <w:rPr>
                <w:i/>
              </w:rPr>
              <w:t>omes</w:t>
            </w:r>
          </w:p>
        </w:tc>
      </w:tr>
      <w:tr w:rsidRPr="00981AAC" w:rsidR="00981AAC" w:rsidTr="00713105" w14:paraId="5B86D599" w14:textId="77777777">
        <w:tc>
          <w:tcPr>
            <w:tcW w:w="909" w:type="pct"/>
          </w:tcPr>
          <w:p w:rsidRPr="00981AAC" w:rsidR="00981AAC" w:rsidP="00BE1F8F" w:rsidRDefault="00981AAC" w14:paraId="7FD14655" w14:textId="77777777">
            <w:pPr>
              <w:overflowPunct w:val="0"/>
              <w:autoSpaceDE w:val="0"/>
              <w:autoSpaceDN w:val="0"/>
              <w:adjustRightInd w:val="0"/>
              <w:textAlignment w:val="baseline"/>
              <w:rPr>
                <w:i/>
              </w:rPr>
            </w:pPr>
            <w:r w:rsidRPr="00981AAC">
              <w:rPr>
                <w:i/>
              </w:rPr>
              <w:t>Tel.</w:t>
            </w:r>
          </w:p>
        </w:tc>
        <w:tc>
          <w:tcPr>
            <w:tcW w:w="4091" w:type="pct"/>
          </w:tcPr>
          <w:p w:rsidRPr="00981AAC" w:rsidR="00981AAC" w:rsidP="00BE1F8F" w:rsidRDefault="00981AAC" w14:paraId="1A842B89" w14:textId="77777777">
            <w:pPr>
              <w:overflowPunct w:val="0"/>
              <w:autoSpaceDE w:val="0"/>
              <w:autoSpaceDN w:val="0"/>
              <w:adjustRightInd w:val="0"/>
              <w:textAlignment w:val="baseline"/>
              <w:rPr>
                <w:i/>
              </w:rPr>
            </w:pPr>
            <w:r w:rsidRPr="00981AAC">
              <w:rPr>
                <w:i/>
              </w:rPr>
              <w:t>+32 25469524</w:t>
            </w:r>
          </w:p>
        </w:tc>
      </w:tr>
      <w:tr w:rsidRPr="00981AAC" w:rsidR="00981AAC" w:rsidTr="00713105" w14:paraId="4FA7AC41" w14:textId="77777777">
        <w:tc>
          <w:tcPr>
            <w:tcW w:w="909" w:type="pct"/>
          </w:tcPr>
          <w:p w:rsidRPr="00981AAC" w:rsidR="00981AAC" w:rsidP="00BE1F8F" w:rsidRDefault="00981AAC" w14:paraId="5EBD3C93" w14:textId="77777777">
            <w:pPr>
              <w:overflowPunct w:val="0"/>
              <w:autoSpaceDE w:val="0"/>
              <w:autoSpaceDN w:val="0"/>
              <w:adjustRightInd w:val="0"/>
              <w:textAlignment w:val="baseline"/>
              <w:rPr>
                <w:i/>
              </w:rPr>
            </w:pPr>
            <w:r w:rsidRPr="00981AAC">
              <w:rPr>
                <w:i/>
              </w:rPr>
              <w:t>Email</w:t>
            </w:r>
          </w:p>
        </w:tc>
        <w:tc>
          <w:tcPr>
            <w:tcW w:w="4091" w:type="pct"/>
          </w:tcPr>
          <w:p w:rsidRPr="00713105" w:rsidR="00981AAC" w:rsidP="00BE1F8F" w:rsidRDefault="002C4029" w14:paraId="03C24A43" w14:textId="0AF7A5D3">
            <w:pPr>
              <w:overflowPunct w:val="0"/>
              <w:autoSpaceDE w:val="0"/>
              <w:autoSpaceDN w:val="0"/>
              <w:adjustRightInd w:val="0"/>
              <w:textAlignment w:val="baseline"/>
            </w:pPr>
            <w:hyperlink w:history="1" r:id="rId35">
              <w:r w:rsidRPr="00981AAC" w:rsidR="00981AAC">
                <w:rPr>
                  <w:i/>
                  <w:iCs/>
                  <w:color w:val="0000FF"/>
                  <w:u w:val="single"/>
                  <w:lang w:val="en-GB"/>
                </w:rPr>
                <w:t>Triin.Aasmaa</w:t>
              </w:r>
              <w:r w:rsidRPr="00981AAC" w:rsidR="00981AAC">
                <w:rPr>
                  <w:i/>
                  <w:color w:val="0000FF"/>
                  <w:u w:val="single"/>
                  <w:lang w:val="en-GB"/>
                </w:rPr>
                <w:t>Gomes</w:t>
              </w:r>
              <w:r w:rsidRPr="00981AAC" w:rsidR="00981AAC">
                <w:rPr>
                  <w:i/>
                  <w:iCs/>
                  <w:color w:val="0000FF"/>
                  <w:u w:val="single"/>
                </w:rPr>
                <w:t>@eesc.europa.e</w:t>
              </w:r>
              <w:r w:rsidRPr="00981AAC" w:rsidR="00981AAC">
                <w:rPr>
                  <w:i/>
                  <w:iCs/>
                  <w:color w:val="0000FF"/>
                  <w:u w:val="single"/>
                  <w:lang w:val="en-GB"/>
                </w:rPr>
                <w:t>u</w:t>
              </w:r>
            </w:hyperlink>
          </w:p>
        </w:tc>
      </w:tr>
    </w:tbl>
    <w:p w:rsidRPr="00713105" w:rsidR="000D43E1" w:rsidP="00BE1F8F" w:rsidRDefault="000D43E1" w14:paraId="4982DDC2" w14:textId="686E2E23">
      <w:pPr>
        <w:jc w:val="left"/>
      </w:pPr>
      <w:r w:rsidRPr="00713105">
        <w:br w:type="page"/>
      </w:r>
    </w:p>
    <w:p w:rsidRPr="00DC45BC" w:rsidR="004D7AC0" w:rsidP="00BE1F8F" w:rsidRDefault="004D7AC0" w14:paraId="4982DDC5" w14:textId="3495F80F">
      <w:pPr>
        <w:jc w:val="left"/>
        <w:rPr>
          <w:sz w:val="8"/>
          <w:szCs w:val="8"/>
        </w:rPr>
      </w:pPr>
    </w:p>
    <w:p w:rsidR="004D7AC0" w:rsidP="00BE1F8F" w:rsidRDefault="004D7AC0" w14:paraId="4982DDC6" w14:textId="77777777">
      <w:pPr>
        <w:pStyle w:val="Heading1"/>
        <w:keepNext/>
        <w:keepLines/>
        <w:rPr>
          <w:b/>
        </w:rPr>
      </w:pPr>
      <w:bookmarkStart w:name="_Toc24617160" w:id="18"/>
      <w:bookmarkStart w:name="_Toc75527082" w:id="19"/>
      <w:bookmarkStart w:name="_Toc192668668" w:id="20"/>
      <w:r w:rsidRPr="008F0C17">
        <w:rPr>
          <w:b/>
        </w:rPr>
        <w:t>TRANSPORT, ENERGY, INFRASTRUCTURE AND INFORMATION SOCIETY</w:t>
      </w:r>
      <w:bookmarkEnd w:id="18"/>
      <w:bookmarkEnd w:id="19"/>
      <w:bookmarkEnd w:id="20"/>
    </w:p>
    <w:p w:rsidR="004D7AC0" w:rsidP="00BE1F8F" w:rsidRDefault="004D7AC0" w14:paraId="4982DDF1" w14:textId="77777777"/>
    <w:p w:rsidRPr="00A230A4" w:rsidR="00A230A4" w:rsidP="00BE1F8F" w:rsidRDefault="002C4029" w14:paraId="64C335F9" w14:textId="3ECD80EF">
      <w:pPr>
        <w:widowControl w:val="0"/>
        <w:numPr>
          <w:ilvl w:val="0"/>
          <w:numId w:val="2"/>
        </w:numPr>
        <w:overflowPunct w:val="0"/>
        <w:autoSpaceDE w:val="0"/>
        <w:autoSpaceDN w:val="0"/>
        <w:adjustRightInd w:val="0"/>
        <w:ind w:hanging="567"/>
        <w:textAlignment w:val="baseline"/>
        <w:rPr>
          <w:b/>
          <w:bCs/>
          <w:i/>
          <w:iCs/>
          <w:sz w:val="28"/>
          <w:szCs w:val="28"/>
          <w:lang w:val="en-GB"/>
        </w:rPr>
      </w:pPr>
      <w:hyperlink w:history="1" r:id="rId36">
        <w:r w:rsidRPr="00A230A4" w:rsidR="00A230A4">
          <w:rPr>
            <w:b/>
            <w:bCs/>
            <w:i/>
            <w:iCs/>
            <w:color w:val="0000FF"/>
            <w:sz w:val="28"/>
            <w:szCs w:val="28"/>
            <w:u w:val="single"/>
            <w:lang w:val="en-GB"/>
          </w:rPr>
          <w:t>The physical completion of EU’s internal market in the new geopolitical situation</w:t>
        </w:r>
      </w:hyperlink>
    </w:p>
    <w:p w:rsidRPr="00A230A4" w:rsidR="00A230A4" w:rsidP="00BE1F8F" w:rsidRDefault="00A230A4" w14:paraId="2FFA7CD5" w14:textId="77777777">
      <w:pPr>
        <w:tabs>
          <w:tab w:val="center" w:pos="284"/>
        </w:tabs>
        <w:overflowPunct w:val="0"/>
        <w:autoSpaceDE w:val="0"/>
        <w:autoSpaceDN w:val="0"/>
        <w:adjustRightInd w:val="0"/>
        <w:ind w:left="266" w:hanging="266"/>
        <w:textAlignment w:val="baseline"/>
        <w:rPr>
          <w:b/>
          <w:lang w:val="en-GB"/>
        </w:rPr>
      </w:pPr>
    </w:p>
    <w:tbl>
      <w:tblPr>
        <w:tblW w:w="0" w:type="auto"/>
        <w:tblLook w:val="04A0" w:firstRow="1" w:lastRow="0" w:firstColumn="1" w:lastColumn="0" w:noHBand="0" w:noVBand="1"/>
      </w:tblPr>
      <w:tblGrid>
        <w:gridCol w:w="1701"/>
        <w:gridCol w:w="7479"/>
      </w:tblGrid>
      <w:tr w:rsidRPr="00A230A4" w:rsidR="00A230A4" w:rsidTr="00713105" w14:paraId="6D4A0388" w14:textId="77777777">
        <w:tc>
          <w:tcPr>
            <w:tcW w:w="1701" w:type="dxa"/>
          </w:tcPr>
          <w:p w:rsidRPr="00A230A4" w:rsidR="00A230A4" w:rsidP="00BE1F8F" w:rsidRDefault="00A230A4" w14:paraId="3793B605" w14:textId="77777777">
            <w:pPr>
              <w:tabs>
                <w:tab w:val="center" w:pos="284"/>
              </w:tabs>
              <w:overflowPunct w:val="0"/>
              <w:autoSpaceDE w:val="0"/>
              <w:autoSpaceDN w:val="0"/>
              <w:adjustRightInd w:val="0"/>
              <w:ind w:left="266" w:hanging="266"/>
              <w:textAlignment w:val="baseline"/>
              <w:rPr>
                <w:b/>
              </w:rPr>
            </w:pPr>
            <w:r w:rsidRPr="00A230A4">
              <w:rPr>
                <w:b/>
              </w:rPr>
              <w:t>Rapporteur</w:t>
            </w:r>
          </w:p>
        </w:tc>
        <w:tc>
          <w:tcPr>
            <w:tcW w:w="7479" w:type="dxa"/>
          </w:tcPr>
          <w:p w:rsidRPr="00A230A4" w:rsidR="00A230A4" w:rsidP="00BE1F8F" w:rsidRDefault="00A230A4" w14:paraId="38BAB1F6" w14:textId="6CD83440">
            <w:pPr>
              <w:tabs>
                <w:tab w:val="center" w:pos="284"/>
              </w:tabs>
              <w:overflowPunct w:val="0"/>
              <w:autoSpaceDE w:val="0"/>
              <w:autoSpaceDN w:val="0"/>
              <w:adjustRightInd w:val="0"/>
              <w:ind w:left="266" w:hanging="266"/>
              <w:textAlignment w:val="baseline"/>
            </w:pPr>
            <w:r w:rsidRPr="00A230A4">
              <w:t xml:space="preserve">Päivi Elina WOOD (Employers' Group </w:t>
            </w:r>
            <w:r w:rsidR="00032230">
              <w:t>-</w:t>
            </w:r>
            <w:r w:rsidRPr="00A230A4">
              <w:t xml:space="preserve"> FI)</w:t>
            </w:r>
          </w:p>
        </w:tc>
      </w:tr>
      <w:tr w:rsidRPr="00A230A4" w:rsidR="00A230A4" w:rsidTr="00713105" w14:paraId="19E7978D" w14:textId="77777777">
        <w:tc>
          <w:tcPr>
            <w:tcW w:w="1701" w:type="dxa"/>
          </w:tcPr>
          <w:p w:rsidRPr="00A230A4" w:rsidR="00A230A4" w:rsidP="00BE1F8F" w:rsidRDefault="00A230A4" w14:paraId="21EBC6AF" w14:textId="1650C1F5">
            <w:pPr>
              <w:tabs>
                <w:tab w:val="center" w:pos="284"/>
              </w:tabs>
              <w:overflowPunct w:val="0"/>
              <w:autoSpaceDE w:val="0"/>
              <w:autoSpaceDN w:val="0"/>
              <w:adjustRightInd w:val="0"/>
              <w:ind w:left="266" w:hanging="266"/>
              <w:textAlignment w:val="baseline"/>
              <w:rPr>
                <w:b/>
              </w:rPr>
            </w:pPr>
            <w:r w:rsidRPr="00A230A4">
              <w:rPr>
                <w:b/>
              </w:rPr>
              <w:t>Reference</w:t>
            </w:r>
          </w:p>
        </w:tc>
        <w:tc>
          <w:tcPr>
            <w:tcW w:w="7479" w:type="dxa"/>
          </w:tcPr>
          <w:p w:rsidRPr="00A230A4" w:rsidR="00A230A4" w:rsidP="00BE1F8F" w:rsidRDefault="00A230A4" w14:paraId="6D31E889" w14:textId="77777777">
            <w:pPr>
              <w:tabs>
                <w:tab w:val="center" w:pos="284"/>
              </w:tabs>
              <w:overflowPunct w:val="0"/>
              <w:autoSpaceDE w:val="0"/>
              <w:autoSpaceDN w:val="0"/>
              <w:adjustRightInd w:val="0"/>
              <w:ind w:left="266" w:hanging="266"/>
              <w:textAlignment w:val="baseline"/>
            </w:pPr>
            <w:r w:rsidRPr="00A230A4">
              <w:t>Own-initiative opinion</w:t>
            </w:r>
          </w:p>
          <w:p w:rsidRPr="00A230A4" w:rsidR="00A230A4" w:rsidP="00BE1F8F" w:rsidRDefault="00A230A4" w14:paraId="2EB2BC1E" w14:textId="77777777">
            <w:pPr>
              <w:tabs>
                <w:tab w:val="center" w:pos="284"/>
              </w:tabs>
              <w:overflowPunct w:val="0"/>
              <w:autoSpaceDE w:val="0"/>
              <w:autoSpaceDN w:val="0"/>
              <w:adjustRightInd w:val="0"/>
              <w:ind w:left="266" w:hanging="266"/>
              <w:textAlignment w:val="baseline"/>
            </w:pPr>
            <w:r w:rsidRPr="00A230A4">
              <w:t>EESC-2024-03902-00-00-AC</w:t>
            </w:r>
          </w:p>
        </w:tc>
      </w:tr>
    </w:tbl>
    <w:p w:rsidRPr="00A230A4" w:rsidR="00A230A4" w:rsidP="00BE1F8F" w:rsidRDefault="00A230A4" w14:paraId="1945C70F" w14:textId="77777777">
      <w:pPr>
        <w:tabs>
          <w:tab w:val="center" w:pos="284"/>
        </w:tabs>
        <w:overflowPunct w:val="0"/>
        <w:autoSpaceDE w:val="0"/>
        <w:autoSpaceDN w:val="0"/>
        <w:adjustRightInd w:val="0"/>
        <w:ind w:left="266" w:hanging="266"/>
        <w:textAlignment w:val="baseline"/>
        <w:rPr>
          <w:lang w:val="en-GB"/>
        </w:rPr>
      </w:pPr>
    </w:p>
    <w:p w:rsidRPr="00A230A4" w:rsidR="00A230A4" w:rsidP="00BE1F8F" w:rsidRDefault="00A230A4" w14:paraId="24F24472" w14:textId="77777777">
      <w:pPr>
        <w:keepNext/>
        <w:keepLines/>
        <w:tabs>
          <w:tab w:val="center" w:pos="284"/>
        </w:tabs>
        <w:overflowPunct w:val="0"/>
        <w:autoSpaceDE w:val="0"/>
        <w:autoSpaceDN w:val="0"/>
        <w:adjustRightInd w:val="0"/>
        <w:ind w:left="266" w:hanging="266"/>
        <w:textAlignment w:val="baseline"/>
        <w:rPr>
          <w:b/>
          <w:lang w:val="en-GB"/>
        </w:rPr>
      </w:pPr>
      <w:r w:rsidRPr="00A230A4">
        <w:rPr>
          <w:b/>
          <w:lang w:val="en-GB"/>
        </w:rPr>
        <w:t>Key points</w:t>
      </w:r>
    </w:p>
    <w:p w:rsidRPr="00A230A4" w:rsidR="00A230A4" w:rsidP="00BE1F8F" w:rsidRDefault="00A230A4" w14:paraId="7D389384" w14:textId="77777777">
      <w:pPr>
        <w:keepNext/>
        <w:keepLines/>
        <w:tabs>
          <w:tab w:val="center" w:pos="284"/>
        </w:tabs>
        <w:overflowPunct w:val="0"/>
        <w:autoSpaceDE w:val="0"/>
        <w:autoSpaceDN w:val="0"/>
        <w:adjustRightInd w:val="0"/>
        <w:ind w:left="266" w:hanging="266"/>
        <w:textAlignment w:val="baseline"/>
        <w:rPr>
          <w:b/>
          <w:lang w:val="en-GB"/>
        </w:rPr>
      </w:pPr>
    </w:p>
    <w:p w:rsidRPr="00A230A4" w:rsidR="00A230A4" w:rsidP="00BE1F8F" w:rsidRDefault="00A230A4" w14:paraId="7E802171" w14:textId="77777777">
      <w:pPr>
        <w:overflowPunct w:val="0"/>
        <w:autoSpaceDE w:val="0"/>
        <w:autoSpaceDN w:val="0"/>
        <w:adjustRightInd w:val="0"/>
        <w:textAlignment w:val="baseline"/>
        <w:rPr>
          <w:bCs/>
          <w:iCs/>
          <w:lang w:val="en-GB"/>
        </w:rPr>
      </w:pPr>
      <w:r w:rsidRPr="00A230A4">
        <w:rPr>
          <w:bCs/>
          <w:iCs/>
          <w:lang w:val="en-GB"/>
        </w:rPr>
        <w:t>The EESC:</w:t>
      </w:r>
    </w:p>
    <w:p w:rsidRPr="00A230A4" w:rsidR="00A230A4" w:rsidP="00BE1F8F" w:rsidRDefault="00A230A4" w14:paraId="6DCC695C" w14:textId="77777777">
      <w:pPr>
        <w:widowControl w:val="0"/>
        <w:numPr>
          <w:ilvl w:val="0"/>
          <w:numId w:val="28"/>
        </w:numPr>
        <w:overflowPunct w:val="0"/>
        <w:autoSpaceDE w:val="0"/>
        <w:autoSpaceDN w:val="0"/>
        <w:adjustRightInd w:val="0"/>
        <w:ind w:left="284" w:hanging="284"/>
        <w:textAlignment w:val="baseline"/>
        <w:rPr>
          <w:bCs/>
          <w:iCs/>
          <w:lang w:val="en-GB"/>
        </w:rPr>
      </w:pPr>
      <w:r w:rsidRPr="00A230A4">
        <w:rPr>
          <w:bCs/>
          <w:iCs/>
          <w:lang w:val="en-GB"/>
        </w:rPr>
        <w:t>finds it crucial to focus more efforts on improving the resilience and reliability of transport systems; highlights the need for a proper analysis conducted on the consequences of crisis for all transport modes and possible new handicaps in the connectivity of different areas within the EU;</w:t>
      </w:r>
    </w:p>
    <w:p w:rsidRPr="00A230A4" w:rsidR="00A230A4" w:rsidP="00BE1F8F" w:rsidRDefault="00A230A4" w14:paraId="55F2F225" w14:textId="77777777">
      <w:pPr>
        <w:widowControl w:val="0"/>
        <w:numPr>
          <w:ilvl w:val="0"/>
          <w:numId w:val="28"/>
        </w:numPr>
        <w:overflowPunct w:val="0"/>
        <w:autoSpaceDE w:val="0"/>
        <w:autoSpaceDN w:val="0"/>
        <w:adjustRightInd w:val="0"/>
        <w:ind w:left="284" w:hanging="284"/>
        <w:textAlignment w:val="baseline"/>
        <w:rPr>
          <w:lang w:val="en-GB"/>
        </w:rPr>
      </w:pPr>
      <w:r w:rsidRPr="00A230A4">
        <w:rPr>
          <w:lang w:val="en-GB"/>
        </w:rPr>
        <w:t>finds it imperative that in the next MFF an appropriate level of funding is allocated to investment in the development and maintenance of transport infrastructure in a well-targeted manner, starting with the objective of completing the TEN-T Core Network by 2030;</w:t>
      </w:r>
    </w:p>
    <w:p w:rsidRPr="00A230A4" w:rsidR="00A230A4" w:rsidP="00BE1F8F" w:rsidRDefault="00A230A4" w14:paraId="64405BDE" w14:textId="77777777">
      <w:pPr>
        <w:widowControl w:val="0"/>
        <w:numPr>
          <w:ilvl w:val="0"/>
          <w:numId w:val="28"/>
        </w:numPr>
        <w:overflowPunct w:val="0"/>
        <w:autoSpaceDE w:val="0"/>
        <w:autoSpaceDN w:val="0"/>
        <w:adjustRightInd w:val="0"/>
        <w:ind w:left="284" w:hanging="284"/>
        <w:textAlignment w:val="baseline"/>
        <w:rPr>
          <w:lang w:val="en-GB"/>
        </w:rPr>
      </w:pPr>
      <w:r w:rsidRPr="00A230A4">
        <w:rPr>
          <w:szCs w:val="20"/>
          <w:lang w:val="en-GB"/>
        </w:rPr>
        <w:t>calls for more emphasis to be placed on the dual use of infrastructure and military mobility, while also working together with NATO;</w:t>
      </w:r>
    </w:p>
    <w:p w:rsidRPr="00A230A4" w:rsidR="00A230A4" w:rsidP="00BE1F8F" w:rsidRDefault="00A230A4" w14:paraId="1411391B" w14:textId="77777777">
      <w:pPr>
        <w:widowControl w:val="0"/>
        <w:numPr>
          <w:ilvl w:val="0"/>
          <w:numId w:val="28"/>
        </w:numPr>
        <w:overflowPunct w:val="0"/>
        <w:autoSpaceDE w:val="0"/>
        <w:autoSpaceDN w:val="0"/>
        <w:adjustRightInd w:val="0"/>
        <w:ind w:left="284" w:hanging="284"/>
        <w:textAlignment w:val="baseline"/>
        <w:rPr>
          <w:szCs w:val="20"/>
          <w:lang w:val="en-GB"/>
        </w:rPr>
      </w:pPr>
      <w:r w:rsidRPr="00A230A4">
        <w:rPr>
          <w:szCs w:val="20"/>
          <w:lang w:val="en-GB"/>
        </w:rPr>
        <w:t>stresses that from the comprehensive security point of view, it is important to improve the vitality and single market connections of the EU’s border regions;</w:t>
      </w:r>
    </w:p>
    <w:p w:rsidRPr="00A230A4" w:rsidR="00A230A4" w:rsidP="00BE1F8F" w:rsidRDefault="00A230A4" w14:paraId="73C87209" w14:textId="77777777">
      <w:pPr>
        <w:widowControl w:val="0"/>
        <w:numPr>
          <w:ilvl w:val="0"/>
          <w:numId w:val="28"/>
        </w:numPr>
        <w:overflowPunct w:val="0"/>
        <w:autoSpaceDE w:val="0"/>
        <w:autoSpaceDN w:val="0"/>
        <w:adjustRightInd w:val="0"/>
        <w:ind w:left="284" w:hanging="284"/>
        <w:textAlignment w:val="baseline"/>
        <w:rPr>
          <w:szCs w:val="20"/>
          <w:lang w:val="en-GB"/>
        </w:rPr>
      </w:pPr>
      <w:r w:rsidRPr="00A230A4">
        <w:rPr>
          <w:szCs w:val="20"/>
          <w:lang w:val="en-GB"/>
        </w:rPr>
        <w:t>calls for steps to facilitate labour mobility, enhance competences and skills, and make the transport sector more attractive.</w:t>
      </w:r>
    </w:p>
    <w:p w:rsidRPr="00A230A4" w:rsidR="00A230A4" w:rsidP="00713105" w:rsidRDefault="00A230A4" w14:paraId="7F485678" w14:textId="77777777">
      <w:pPr>
        <w:widowControl w:val="0"/>
        <w:overflowPunct w:val="0"/>
        <w:autoSpaceDE w:val="0"/>
        <w:autoSpaceDN w:val="0"/>
        <w:adjustRightInd w:val="0"/>
        <w:textAlignment w:val="baseline"/>
        <w:rPr>
          <w:szCs w:val="20"/>
          <w:lang w:val="en-GB"/>
        </w:rPr>
      </w:pPr>
    </w:p>
    <w:tbl>
      <w:tblPr>
        <w:tblW w:w="9322" w:type="dxa"/>
        <w:tblLook w:val="04A0" w:firstRow="1" w:lastRow="0" w:firstColumn="1" w:lastColumn="0" w:noHBand="0" w:noVBand="1"/>
      </w:tblPr>
      <w:tblGrid>
        <w:gridCol w:w="1668"/>
        <w:gridCol w:w="7654"/>
      </w:tblGrid>
      <w:tr w:rsidRPr="00A230A4" w:rsidR="00A230A4" w:rsidTr="00713105" w14:paraId="4840AB28" w14:textId="77777777">
        <w:tc>
          <w:tcPr>
            <w:tcW w:w="1668" w:type="dxa"/>
          </w:tcPr>
          <w:p w:rsidRPr="00A230A4" w:rsidR="00A230A4" w:rsidP="00BE1F8F" w:rsidRDefault="00A230A4" w14:paraId="152A2305" w14:textId="77777777">
            <w:pPr>
              <w:overflowPunct w:val="0"/>
              <w:autoSpaceDE w:val="0"/>
              <w:autoSpaceDN w:val="0"/>
              <w:adjustRightInd w:val="0"/>
              <w:textAlignment w:val="baseline"/>
              <w:rPr>
                <w:i/>
              </w:rPr>
            </w:pPr>
            <w:r w:rsidRPr="00A230A4">
              <w:rPr>
                <w:b/>
                <w:i/>
              </w:rPr>
              <w:t>Contact</w:t>
            </w:r>
          </w:p>
        </w:tc>
        <w:tc>
          <w:tcPr>
            <w:tcW w:w="7654" w:type="dxa"/>
          </w:tcPr>
          <w:p w:rsidRPr="00A230A4" w:rsidR="00A230A4" w:rsidP="00BE1F8F" w:rsidRDefault="00A230A4" w14:paraId="0C8E402D" w14:textId="2EF89DD1">
            <w:pPr>
              <w:overflowPunct w:val="0"/>
              <w:autoSpaceDE w:val="0"/>
              <w:autoSpaceDN w:val="0"/>
              <w:adjustRightInd w:val="0"/>
              <w:textAlignment w:val="baseline"/>
              <w:rPr>
                <w:i/>
              </w:rPr>
            </w:pPr>
            <w:r w:rsidRPr="00A230A4">
              <w:rPr>
                <w:i/>
              </w:rPr>
              <w:t>Albert P</w:t>
            </w:r>
            <w:r w:rsidRPr="00A230A4" w:rsidR="0005257A">
              <w:rPr>
                <w:i/>
              </w:rPr>
              <w:t>recup</w:t>
            </w:r>
          </w:p>
        </w:tc>
      </w:tr>
      <w:tr w:rsidRPr="00A230A4" w:rsidR="00A230A4" w:rsidTr="00713105" w14:paraId="19BEAAAD" w14:textId="77777777">
        <w:tc>
          <w:tcPr>
            <w:tcW w:w="1668" w:type="dxa"/>
          </w:tcPr>
          <w:p w:rsidRPr="00A230A4" w:rsidR="00A230A4" w:rsidP="00BE1F8F" w:rsidRDefault="00A230A4" w14:paraId="73F2E8D5" w14:textId="77777777">
            <w:pPr>
              <w:overflowPunct w:val="0"/>
              <w:autoSpaceDE w:val="0"/>
              <w:autoSpaceDN w:val="0"/>
              <w:adjustRightInd w:val="0"/>
              <w:textAlignment w:val="baseline"/>
              <w:rPr>
                <w:i/>
              </w:rPr>
            </w:pPr>
            <w:r w:rsidRPr="00A230A4">
              <w:rPr>
                <w:i/>
              </w:rPr>
              <w:t>Tel.</w:t>
            </w:r>
          </w:p>
        </w:tc>
        <w:tc>
          <w:tcPr>
            <w:tcW w:w="7654" w:type="dxa"/>
          </w:tcPr>
          <w:p w:rsidRPr="00A230A4" w:rsidR="00A230A4" w:rsidP="00BE1F8F" w:rsidRDefault="00A230A4" w14:paraId="48DB2246" w14:textId="44656696">
            <w:pPr>
              <w:overflowPunct w:val="0"/>
              <w:autoSpaceDE w:val="0"/>
              <w:autoSpaceDN w:val="0"/>
              <w:adjustRightInd w:val="0"/>
              <w:textAlignment w:val="baseline"/>
              <w:rPr>
                <w:i/>
              </w:rPr>
            </w:pPr>
            <w:r w:rsidRPr="00A230A4">
              <w:rPr>
                <w:i/>
              </w:rPr>
              <w:t>+32 25469326</w:t>
            </w:r>
          </w:p>
        </w:tc>
      </w:tr>
      <w:tr w:rsidRPr="00A230A4" w:rsidR="00A230A4" w:rsidTr="00713105" w14:paraId="0708081C" w14:textId="77777777">
        <w:tc>
          <w:tcPr>
            <w:tcW w:w="1668" w:type="dxa"/>
          </w:tcPr>
          <w:p w:rsidRPr="00A230A4" w:rsidR="00A230A4" w:rsidP="00BE1F8F" w:rsidRDefault="0005257A" w14:paraId="42A6811E" w14:textId="3D597CE0">
            <w:pPr>
              <w:overflowPunct w:val="0"/>
              <w:autoSpaceDE w:val="0"/>
              <w:autoSpaceDN w:val="0"/>
              <w:adjustRightInd w:val="0"/>
              <w:textAlignment w:val="baseline"/>
              <w:rPr>
                <w:i/>
              </w:rPr>
            </w:pPr>
            <w:r>
              <w:rPr>
                <w:i/>
              </w:rPr>
              <w:t>E</w:t>
            </w:r>
            <w:r w:rsidRPr="00A230A4" w:rsidR="00A230A4">
              <w:rPr>
                <w:i/>
              </w:rPr>
              <w:t>mail</w:t>
            </w:r>
          </w:p>
        </w:tc>
        <w:tc>
          <w:tcPr>
            <w:tcW w:w="7654" w:type="dxa"/>
          </w:tcPr>
          <w:p w:rsidRPr="00A230A4" w:rsidR="00A230A4" w:rsidP="00BE1F8F" w:rsidRDefault="002C4029" w14:paraId="08B446AD" w14:textId="03934908">
            <w:pPr>
              <w:overflowPunct w:val="0"/>
              <w:autoSpaceDE w:val="0"/>
              <w:autoSpaceDN w:val="0"/>
              <w:adjustRightInd w:val="0"/>
              <w:textAlignment w:val="baseline"/>
              <w:rPr>
                <w:i/>
              </w:rPr>
            </w:pPr>
            <w:hyperlink w:history="1" r:id="rId37">
              <w:r w:rsidRPr="00A230A4" w:rsidR="00A230A4">
                <w:rPr>
                  <w:i/>
                  <w:color w:val="0000FF"/>
                  <w:u w:val="single"/>
                </w:rPr>
                <w:t>Albert.Precup@eesc.europa.eu</w:t>
              </w:r>
            </w:hyperlink>
          </w:p>
        </w:tc>
      </w:tr>
    </w:tbl>
    <w:p w:rsidR="004D7AC0" w:rsidP="00BE1F8F" w:rsidRDefault="004D7AC0" w14:paraId="4982DDF2" w14:textId="77777777">
      <w:pPr>
        <w:jc w:val="left"/>
      </w:pPr>
      <w:r>
        <w:br w:type="page"/>
      </w:r>
    </w:p>
    <w:p w:rsidR="004D7AC0" w:rsidP="00BE1F8F" w:rsidRDefault="004D7AC0" w14:paraId="4982DDF3" w14:textId="77777777">
      <w:pPr>
        <w:pStyle w:val="Heading1"/>
        <w:rPr>
          <w:b/>
        </w:rPr>
      </w:pPr>
      <w:bookmarkStart w:name="_Toc75527083" w:id="21"/>
      <w:bookmarkStart w:name="_Toc192668669" w:id="22"/>
      <w:r>
        <w:rPr>
          <w:b/>
        </w:rPr>
        <w:t>SINGLE MARKET, PRODUCTION AND CONSUMPTION</w:t>
      </w:r>
      <w:bookmarkEnd w:id="21"/>
      <w:bookmarkEnd w:id="22"/>
    </w:p>
    <w:p w:rsidR="004D7AC0" w:rsidP="00BE1F8F" w:rsidRDefault="004D7AC0" w14:paraId="4982DDF4" w14:textId="77777777"/>
    <w:p w:rsidRPr="001131B6" w:rsidR="009D7E2D" w:rsidP="001131B6" w:rsidRDefault="002C4029" w14:paraId="4C3E6230" w14:textId="2999EF33">
      <w:pPr>
        <w:widowControl w:val="0"/>
        <w:numPr>
          <w:ilvl w:val="0"/>
          <w:numId w:val="2"/>
        </w:numPr>
        <w:overflowPunct w:val="0"/>
        <w:autoSpaceDE w:val="0"/>
        <w:autoSpaceDN w:val="0"/>
        <w:adjustRightInd w:val="0"/>
        <w:ind w:hanging="567"/>
        <w:textAlignment w:val="baseline"/>
        <w:rPr>
          <w:b/>
          <w:bCs/>
          <w:i/>
          <w:iCs/>
          <w:sz w:val="28"/>
          <w:szCs w:val="28"/>
        </w:rPr>
      </w:pPr>
      <w:hyperlink w:history="1" r:id="rId38">
        <w:r w:rsidRPr="001131B6" w:rsidR="003232BE">
          <w:rPr>
            <w:rStyle w:val="Hyperlink"/>
            <w:b/>
            <w:bCs/>
            <w:i/>
            <w:iCs/>
            <w:sz w:val="28"/>
            <w:szCs w:val="28"/>
          </w:rPr>
          <w:t>Consumer protection and the i</w:t>
        </w:r>
        <w:r w:rsidRPr="001131B6" w:rsidR="009D7E2D">
          <w:rPr>
            <w:rStyle w:val="Hyperlink"/>
            <w:b/>
            <w:bCs/>
            <w:i/>
            <w:iCs/>
            <w:sz w:val="28"/>
            <w:szCs w:val="28"/>
          </w:rPr>
          <w:t>mpact of the digital and green transitions on consumers</w:t>
        </w:r>
      </w:hyperlink>
    </w:p>
    <w:p w:rsidRPr="009D7E2D" w:rsidR="009D7E2D" w:rsidP="00BE1F8F" w:rsidRDefault="009D7E2D" w14:paraId="1049AE1F" w14:textId="77777777">
      <w:pPr>
        <w:widowControl w:val="0"/>
        <w:overflowPunct w:val="0"/>
        <w:autoSpaceDE w:val="0"/>
        <w:autoSpaceDN w:val="0"/>
        <w:adjustRightInd w:val="0"/>
        <w:ind w:left="266"/>
        <w:textAlignment w:val="baseline"/>
        <w:rPr>
          <w:b/>
          <w:lang w:val="en-GB"/>
        </w:rPr>
      </w:pPr>
    </w:p>
    <w:tbl>
      <w:tblPr>
        <w:tblW w:w="4941" w:type="pct"/>
        <w:tblLook w:val="04A0" w:firstRow="1" w:lastRow="0" w:firstColumn="1" w:lastColumn="0" w:noHBand="0" w:noVBand="1"/>
      </w:tblPr>
      <w:tblGrid>
        <w:gridCol w:w="1668"/>
        <w:gridCol w:w="7509"/>
      </w:tblGrid>
      <w:tr w:rsidRPr="009D7E2D" w:rsidR="009D7E2D" w:rsidTr="00B51A72" w14:paraId="436EE5FD" w14:textId="77777777">
        <w:tc>
          <w:tcPr>
            <w:tcW w:w="909" w:type="pct"/>
          </w:tcPr>
          <w:p w:rsidRPr="009D7E2D" w:rsidR="009D7E2D" w:rsidP="00BE1F8F" w:rsidRDefault="009D7E2D" w14:paraId="75A99734" w14:textId="77777777">
            <w:pPr>
              <w:tabs>
                <w:tab w:val="center" w:pos="284"/>
              </w:tabs>
              <w:overflowPunct w:val="0"/>
              <w:autoSpaceDE w:val="0"/>
              <w:autoSpaceDN w:val="0"/>
              <w:adjustRightInd w:val="0"/>
              <w:ind w:left="266" w:hanging="266"/>
              <w:textAlignment w:val="baseline"/>
              <w:rPr>
                <w:b/>
              </w:rPr>
            </w:pPr>
            <w:r w:rsidRPr="009D7E2D">
              <w:rPr>
                <w:b/>
              </w:rPr>
              <w:t>Rapporteur</w:t>
            </w:r>
          </w:p>
        </w:tc>
        <w:tc>
          <w:tcPr>
            <w:tcW w:w="4091" w:type="pct"/>
          </w:tcPr>
          <w:p w:rsidRPr="009D7E2D" w:rsidR="009D7E2D" w:rsidP="00BE1F8F" w:rsidRDefault="009D7E2D" w14:paraId="061A8BB9" w14:textId="77777777">
            <w:pPr>
              <w:overflowPunct w:val="0"/>
              <w:autoSpaceDE w:val="0"/>
              <w:autoSpaceDN w:val="0"/>
              <w:adjustRightInd w:val="0"/>
              <w:textAlignment w:val="baseline"/>
              <w:rPr>
                <w:lang w:val="es-ES"/>
              </w:rPr>
            </w:pPr>
            <w:r w:rsidRPr="009D7E2D">
              <w:rPr>
                <w:lang w:val="es-ES"/>
              </w:rPr>
              <w:t>Ileana IZVERNICEANU DE LA IGLESIA (Civil Society Organisations' Group - ES)</w:t>
            </w:r>
          </w:p>
        </w:tc>
      </w:tr>
      <w:tr w:rsidRPr="009D7E2D" w:rsidR="009D7E2D" w:rsidTr="00B51A72" w14:paraId="61B6CD20" w14:textId="77777777">
        <w:tc>
          <w:tcPr>
            <w:tcW w:w="909" w:type="pct"/>
            <w:vMerge w:val="restart"/>
          </w:tcPr>
          <w:p w:rsidRPr="009D7E2D" w:rsidR="009D7E2D" w:rsidP="00BE1F8F" w:rsidRDefault="009D7E2D" w14:paraId="4A0DBE9C" w14:textId="011D688E">
            <w:pPr>
              <w:tabs>
                <w:tab w:val="center" w:pos="284"/>
              </w:tabs>
              <w:overflowPunct w:val="0"/>
              <w:autoSpaceDE w:val="0"/>
              <w:autoSpaceDN w:val="0"/>
              <w:adjustRightInd w:val="0"/>
              <w:ind w:left="266" w:hanging="266"/>
              <w:textAlignment w:val="baseline"/>
              <w:rPr>
                <w:b/>
              </w:rPr>
            </w:pPr>
            <w:r w:rsidRPr="009D7E2D">
              <w:rPr>
                <w:b/>
              </w:rPr>
              <w:t>Reference</w:t>
            </w:r>
          </w:p>
        </w:tc>
        <w:tc>
          <w:tcPr>
            <w:tcW w:w="4091" w:type="pct"/>
          </w:tcPr>
          <w:p w:rsidRPr="009D7E2D" w:rsidR="009D7E2D" w:rsidP="00B51A72" w:rsidRDefault="009D7E2D" w14:paraId="0C563187" w14:textId="052EB171">
            <w:pPr>
              <w:overflowPunct w:val="0"/>
              <w:autoSpaceDE w:val="0"/>
              <w:autoSpaceDN w:val="0"/>
              <w:adjustRightInd w:val="0"/>
              <w:textAlignment w:val="baseline"/>
            </w:pPr>
            <w:r w:rsidRPr="009D7E2D">
              <w:rPr>
                <w:lang w:val="en-GB"/>
              </w:rPr>
              <w:t>Exploratory opinion requested by the Polish Presidency</w:t>
            </w:r>
            <w:r w:rsidR="00D92715">
              <w:t xml:space="preserve"> </w:t>
            </w:r>
            <w:r w:rsidRPr="00D92715" w:rsidR="00D92715">
              <w:rPr>
                <w:lang w:val="en-GB"/>
              </w:rPr>
              <w:t>of the Council of the EU</w:t>
            </w:r>
          </w:p>
        </w:tc>
      </w:tr>
      <w:tr w:rsidRPr="009D7E2D" w:rsidR="009D7E2D" w:rsidTr="00B51A72" w14:paraId="52EB6CD9" w14:textId="77777777">
        <w:tc>
          <w:tcPr>
            <w:tcW w:w="909" w:type="pct"/>
            <w:vMerge/>
          </w:tcPr>
          <w:p w:rsidRPr="009D7E2D" w:rsidR="009D7E2D" w:rsidP="00BE1F8F" w:rsidRDefault="009D7E2D" w14:paraId="3CE83099" w14:textId="77777777">
            <w:pPr>
              <w:tabs>
                <w:tab w:val="center" w:pos="284"/>
              </w:tabs>
              <w:overflowPunct w:val="0"/>
              <w:autoSpaceDE w:val="0"/>
              <w:autoSpaceDN w:val="0"/>
              <w:adjustRightInd w:val="0"/>
              <w:ind w:left="266" w:hanging="266"/>
              <w:textAlignment w:val="baseline"/>
              <w:rPr>
                <w:b/>
              </w:rPr>
            </w:pPr>
          </w:p>
        </w:tc>
        <w:tc>
          <w:tcPr>
            <w:tcW w:w="4091" w:type="pct"/>
          </w:tcPr>
          <w:p w:rsidRPr="009D7E2D" w:rsidR="009D7E2D" w:rsidP="00BE1F8F" w:rsidRDefault="009D7E2D" w14:paraId="329D2D9B" w14:textId="77777777">
            <w:pPr>
              <w:tabs>
                <w:tab w:val="center" w:pos="284"/>
              </w:tabs>
              <w:overflowPunct w:val="0"/>
              <w:autoSpaceDE w:val="0"/>
              <w:autoSpaceDN w:val="0"/>
              <w:adjustRightInd w:val="0"/>
              <w:ind w:left="266" w:hanging="266"/>
              <w:textAlignment w:val="baseline"/>
            </w:pPr>
            <w:r w:rsidRPr="009D7E2D">
              <w:t>EESC-2024-03566-00-00-AC</w:t>
            </w:r>
          </w:p>
        </w:tc>
      </w:tr>
    </w:tbl>
    <w:p w:rsidRPr="009D7E2D" w:rsidR="009D7E2D" w:rsidP="00BE1F8F" w:rsidRDefault="009D7E2D" w14:paraId="2CBB9CFF" w14:textId="77777777">
      <w:pPr>
        <w:tabs>
          <w:tab w:val="center" w:pos="284"/>
        </w:tabs>
        <w:overflowPunct w:val="0"/>
        <w:autoSpaceDE w:val="0"/>
        <w:autoSpaceDN w:val="0"/>
        <w:adjustRightInd w:val="0"/>
        <w:ind w:left="266" w:hanging="266"/>
        <w:textAlignment w:val="baseline"/>
        <w:rPr>
          <w:lang w:val="en-GB"/>
        </w:rPr>
      </w:pPr>
    </w:p>
    <w:p w:rsidRPr="009D7E2D" w:rsidR="009D7E2D" w:rsidP="00BE1F8F" w:rsidRDefault="009D7E2D" w14:paraId="3482A626" w14:textId="77777777">
      <w:pPr>
        <w:keepNext/>
        <w:keepLines/>
        <w:tabs>
          <w:tab w:val="center" w:pos="284"/>
        </w:tabs>
        <w:overflowPunct w:val="0"/>
        <w:autoSpaceDE w:val="0"/>
        <w:autoSpaceDN w:val="0"/>
        <w:adjustRightInd w:val="0"/>
        <w:ind w:left="266" w:hanging="266"/>
        <w:textAlignment w:val="baseline"/>
        <w:rPr>
          <w:b/>
          <w:lang w:val="en-GB"/>
        </w:rPr>
      </w:pPr>
      <w:r w:rsidRPr="009D7E2D">
        <w:rPr>
          <w:b/>
          <w:lang w:val="en-GB"/>
        </w:rPr>
        <w:t>Key points</w:t>
      </w:r>
    </w:p>
    <w:p w:rsidRPr="009D7E2D" w:rsidR="009D7E2D" w:rsidP="00BE1F8F" w:rsidRDefault="009D7E2D" w14:paraId="132CCC89" w14:textId="77777777">
      <w:pPr>
        <w:keepNext/>
        <w:keepLines/>
        <w:tabs>
          <w:tab w:val="center" w:pos="284"/>
        </w:tabs>
        <w:overflowPunct w:val="0"/>
        <w:autoSpaceDE w:val="0"/>
        <w:autoSpaceDN w:val="0"/>
        <w:adjustRightInd w:val="0"/>
        <w:ind w:left="266" w:hanging="266"/>
        <w:textAlignment w:val="baseline"/>
        <w:rPr>
          <w:b/>
          <w:lang w:val="en-GB"/>
        </w:rPr>
      </w:pPr>
    </w:p>
    <w:p w:rsidRPr="009D7E2D" w:rsidR="009D7E2D" w:rsidP="00BE1F8F" w:rsidRDefault="009D7E2D" w14:paraId="38AF573F" w14:textId="77777777">
      <w:pPr>
        <w:overflowPunct w:val="0"/>
        <w:autoSpaceDE w:val="0"/>
        <w:autoSpaceDN w:val="0"/>
        <w:adjustRightInd w:val="0"/>
        <w:textAlignment w:val="baseline"/>
        <w:rPr>
          <w:i/>
          <w:iCs/>
          <w:sz w:val="24"/>
          <w:szCs w:val="24"/>
          <w:lang w:val="en-GB"/>
        </w:rPr>
      </w:pPr>
      <w:r w:rsidRPr="009D7E2D">
        <w:rPr>
          <w:i/>
          <w:iCs/>
          <w:szCs w:val="20"/>
          <w:lang w:val="en-GB"/>
        </w:rPr>
        <w:t xml:space="preserve">The </w:t>
      </w:r>
      <w:hyperlink w:history="1" r:id="rId39">
        <w:r w:rsidRPr="009D7E2D">
          <w:rPr>
            <w:i/>
            <w:iCs/>
            <w:color w:val="0000FF"/>
            <w:szCs w:val="20"/>
            <w:u w:val="single"/>
            <w:lang w:val="en-GB"/>
          </w:rPr>
          <w:t>EU Youth Test at the EESC</w:t>
        </w:r>
      </w:hyperlink>
      <w:r w:rsidRPr="009D7E2D">
        <w:rPr>
          <w:i/>
          <w:iCs/>
          <w:szCs w:val="20"/>
          <w:lang w:val="en-GB"/>
        </w:rPr>
        <w:t xml:space="preserve"> is being applied to this opinion. The European Youth Energy Network was chosen by a group of interested youth organisations to represent all of them during the opinion-making process.</w:t>
      </w:r>
    </w:p>
    <w:p w:rsidRPr="009D7E2D" w:rsidR="009D7E2D" w:rsidP="00BE1F8F" w:rsidRDefault="009D7E2D" w14:paraId="39B2DD8F" w14:textId="77777777">
      <w:pPr>
        <w:keepNext/>
        <w:keepLines/>
        <w:tabs>
          <w:tab w:val="center" w:pos="284"/>
        </w:tabs>
        <w:overflowPunct w:val="0"/>
        <w:autoSpaceDE w:val="0"/>
        <w:autoSpaceDN w:val="0"/>
        <w:adjustRightInd w:val="0"/>
        <w:ind w:left="266" w:hanging="266"/>
        <w:textAlignment w:val="baseline"/>
        <w:rPr>
          <w:b/>
          <w:lang w:val="en-GB"/>
        </w:rPr>
      </w:pPr>
    </w:p>
    <w:p w:rsidR="009D7E2D" w:rsidP="00BE1F8F" w:rsidRDefault="009D7E2D" w14:paraId="1DEA9057" w14:textId="77777777">
      <w:pPr>
        <w:overflowPunct w:val="0"/>
        <w:autoSpaceDE w:val="0"/>
        <w:autoSpaceDN w:val="0"/>
        <w:adjustRightInd w:val="0"/>
        <w:textAlignment w:val="baseline"/>
        <w:rPr>
          <w:bCs/>
          <w:iCs/>
          <w:lang w:val="en-GB"/>
        </w:rPr>
      </w:pPr>
      <w:r w:rsidRPr="009D7E2D">
        <w:rPr>
          <w:bCs/>
          <w:iCs/>
          <w:lang w:val="en-GB"/>
        </w:rPr>
        <w:t>The EESC:</w:t>
      </w:r>
    </w:p>
    <w:p w:rsidRPr="009D7E2D" w:rsidR="009D7E2D" w:rsidP="00BE1F8F" w:rsidRDefault="009D7E2D" w14:paraId="4AB027D5" w14:textId="77777777">
      <w:pPr>
        <w:widowControl w:val="0"/>
        <w:numPr>
          <w:ilvl w:val="0"/>
          <w:numId w:val="29"/>
        </w:numPr>
        <w:overflowPunct w:val="0"/>
        <w:autoSpaceDE w:val="0"/>
        <w:autoSpaceDN w:val="0"/>
        <w:adjustRightInd w:val="0"/>
        <w:ind w:left="284" w:hanging="284"/>
        <w:textAlignment w:val="baseline"/>
        <w:rPr>
          <w:bCs/>
          <w:iCs/>
          <w:lang w:val="en-GB"/>
        </w:rPr>
      </w:pPr>
      <w:r w:rsidRPr="009D7E2D">
        <w:rPr>
          <w:bCs/>
          <w:iCs/>
          <w:lang w:val="en-GB"/>
        </w:rPr>
        <w:t>believes that mandatory and voluntary product information requirements should be harmonised across the EU, information overload avoided and the accuracy of labels ensured, so that consumers can adopt more sustainable consumption patterns;</w:t>
      </w:r>
    </w:p>
    <w:p w:rsidRPr="009D7E2D" w:rsidR="009D7E2D" w:rsidP="00BE1F8F" w:rsidRDefault="009D7E2D" w14:paraId="62F4E221" w14:textId="77777777">
      <w:pPr>
        <w:widowControl w:val="0"/>
        <w:numPr>
          <w:ilvl w:val="0"/>
          <w:numId w:val="29"/>
        </w:numPr>
        <w:overflowPunct w:val="0"/>
        <w:autoSpaceDE w:val="0"/>
        <w:autoSpaceDN w:val="0"/>
        <w:adjustRightInd w:val="0"/>
        <w:ind w:left="284" w:hanging="284"/>
        <w:textAlignment w:val="baseline"/>
        <w:rPr>
          <w:bCs/>
          <w:iCs/>
          <w:lang w:val="en-GB"/>
        </w:rPr>
      </w:pPr>
      <w:r w:rsidRPr="009D7E2D">
        <w:rPr>
          <w:bCs/>
          <w:iCs/>
          <w:lang w:val="en-GB"/>
        </w:rPr>
        <w:t>points out that products should be labelled in a way that makes it easier to make informed purchases, providing information on life cycle costs, energy efficiency, durability and reparability of products;</w:t>
      </w:r>
    </w:p>
    <w:p w:rsidRPr="009D7E2D" w:rsidR="009D7E2D" w:rsidP="00BE1F8F" w:rsidRDefault="009D7E2D" w14:paraId="6793FE54" w14:textId="77777777">
      <w:pPr>
        <w:widowControl w:val="0"/>
        <w:numPr>
          <w:ilvl w:val="0"/>
          <w:numId w:val="29"/>
        </w:numPr>
        <w:overflowPunct w:val="0"/>
        <w:autoSpaceDE w:val="0"/>
        <w:autoSpaceDN w:val="0"/>
        <w:adjustRightInd w:val="0"/>
        <w:ind w:left="284" w:hanging="284"/>
        <w:textAlignment w:val="baseline"/>
        <w:rPr>
          <w:bCs/>
          <w:iCs/>
          <w:lang w:val="en-GB"/>
        </w:rPr>
      </w:pPr>
      <w:r w:rsidRPr="009D7E2D">
        <w:rPr>
          <w:bCs/>
          <w:iCs/>
          <w:lang w:val="en-GB"/>
        </w:rPr>
        <w:t>calls on the Commission and national authorities to come up with an appropriate framework to ensure access to sustainable products through tax incentives and, in some cases, direct subsidies to reduce the price differential;</w:t>
      </w:r>
    </w:p>
    <w:p w:rsidRPr="009D7E2D" w:rsidR="009D7E2D" w:rsidP="00BE1F8F" w:rsidRDefault="009D7E2D" w14:paraId="3390BD66" w14:textId="77777777">
      <w:pPr>
        <w:widowControl w:val="0"/>
        <w:numPr>
          <w:ilvl w:val="0"/>
          <w:numId w:val="29"/>
        </w:numPr>
        <w:overflowPunct w:val="0"/>
        <w:autoSpaceDE w:val="0"/>
        <w:autoSpaceDN w:val="0"/>
        <w:adjustRightInd w:val="0"/>
        <w:ind w:left="284" w:hanging="284"/>
        <w:textAlignment w:val="baseline"/>
        <w:rPr>
          <w:bCs/>
          <w:iCs/>
          <w:lang w:val="en-GB"/>
        </w:rPr>
      </w:pPr>
      <w:r w:rsidRPr="009D7E2D">
        <w:rPr>
          <w:bCs/>
          <w:iCs/>
          <w:lang w:val="en-GB"/>
        </w:rPr>
        <w:t>calls for effective policies to be put in place to ensure access to the digital market, especially in rural and less populated areas, and to integrate consumers with fewer digital skills;</w:t>
      </w:r>
    </w:p>
    <w:p w:rsidRPr="009D7E2D" w:rsidR="009D7E2D" w:rsidP="00BE1F8F" w:rsidRDefault="009D7E2D" w14:paraId="52BEC693" w14:textId="77777777">
      <w:pPr>
        <w:widowControl w:val="0"/>
        <w:numPr>
          <w:ilvl w:val="0"/>
          <w:numId w:val="29"/>
        </w:numPr>
        <w:overflowPunct w:val="0"/>
        <w:autoSpaceDE w:val="0"/>
        <w:autoSpaceDN w:val="0"/>
        <w:adjustRightInd w:val="0"/>
        <w:ind w:left="284" w:hanging="284"/>
        <w:textAlignment w:val="baseline"/>
        <w:rPr>
          <w:lang w:val="en-GB"/>
        </w:rPr>
      </w:pPr>
      <w:r w:rsidRPr="009D7E2D">
        <w:rPr>
          <w:lang w:val="en-GB"/>
        </w:rPr>
        <w:t>reiterates the importance of educating consumers on how to make informed choices;</w:t>
      </w:r>
    </w:p>
    <w:p w:rsidRPr="009D7E2D" w:rsidR="009D7E2D" w:rsidP="00BE1F8F" w:rsidRDefault="009D7E2D" w14:paraId="7BD4CB0B" w14:textId="77777777">
      <w:pPr>
        <w:widowControl w:val="0"/>
        <w:numPr>
          <w:ilvl w:val="0"/>
          <w:numId w:val="29"/>
        </w:numPr>
        <w:overflowPunct w:val="0"/>
        <w:autoSpaceDE w:val="0"/>
        <w:autoSpaceDN w:val="0"/>
        <w:adjustRightInd w:val="0"/>
        <w:ind w:left="284" w:hanging="284"/>
        <w:textAlignment w:val="baseline"/>
        <w:rPr>
          <w:lang w:val="en-GB"/>
        </w:rPr>
      </w:pPr>
      <w:r w:rsidRPr="009D7E2D">
        <w:rPr>
          <w:lang w:val="en-GB"/>
        </w:rPr>
        <w:t>underlines consumer organisations’ important role in the digital and green transitions, stressing their need for secure funding;</w:t>
      </w:r>
    </w:p>
    <w:p w:rsidRPr="009D7E2D" w:rsidR="009D7E2D" w:rsidP="00BE1F8F" w:rsidRDefault="009D7E2D" w14:paraId="2D7E5670" w14:textId="77777777">
      <w:pPr>
        <w:widowControl w:val="0"/>
        <w:numPr>
          <w:ilvl w:val="0"/>
          <w:numId w:val="29"/>
        </w:numPr>
        <w:overflowPunct w:val="0"/>
        <w:autoSpaceDE w:val="0"/>
        <w:autoSpaceDN w:val="0"/>
        <w:adjustRightInd w:val="0"/>
        <w:ind w:left="284" w:hanging="284"/>
        <w:textAlignment w:val="baseline"/>
        <w:rPr>
          <w:lang w:val="en-GB"/>
        </w:rPr>
      </w:pPr>
      <w:r w:rsidRPr="009D7E2D">
        <w:rPr>
          <w:bCs/>
          <w:iCs/>
          <w:lang w:val="en-GB"/>
        </w:rPr>
        <w:t>calls for ensuring access to affordable and sustainable products also for vulnerable consumers bearing in mind that vulnerability can be of different nature and changing over time;</w:t>
      </w:r>
    </w:p>
    <w:p w:rsidRPr="009D7E2D" w:rsidR="009D7E2D" w:rsidP="00BE1F8F" w:rsidRDefault="009D7E2D" w14:paraId="62C6E0D3" w14:textId="77777777">
      <w:pPr>
        <w:widowControl w:val="0"/>
        <w:numPr>
          <w:ilvl w:val="0"/>
          <w:numId w:val="29"/>
        </w:numPr>
        <w:overflowPunct w:val="0"/>
        <w:autoSpaceDE w:val="0"/>
        <w:autoSpaceDN w:val="0"/>
        <w:adjustRightInd w:val="0"/>
        <w:ind w:left="284" w:hanging="284"/>
        <w:textAlignment w:val="baseline"/>
        <w:rPr>
          <w:rFonts w:asciiTheme="minorHAnsi" w:hAnsiTheme="minorHAnsi"/>
          <w:szCs w:val="20"/>
          <w:lang w:val="en-GB"/>
        </w:rPr>
      </w:pPr>
      <w:r w:rsidRPr="009D7E2D">
        <w:rPr>
          <w:lang w:val="en-GB"/>
        </w:rPr>
        <w:t>is of the view that the EU should address the negative effects of non-EU platforms offering products at low prices and put in place stricter regulation with effective customs duties.</w:t>
      </w:r>
    </w:p>
    <w:p w:rsidRPr="009D7E2D" w:rsidR="009D7E2D" w:rsidP="00BE1F8F" w:rsidRDefault="009D7E2D" w14:paraId="02ABEC34" w14:textId="77777777">
      <w:pPr>
        <w:widowControl w:val="0"/>
        <w:overflowPunct w:val="0"/>
        <w:autoSpaceDE w:val="0"/>
        <w:autoSpaceDN w:val="0"/>
        <w:adjustRightInd w:val="0"/>
        <w:ind w:left="709"/>
        <w:textAlignment w:val="baseline"/>
        <w:rPr>
          <w:szCs w:val="20"/>
          <w:lang w:val="en-GB"/>
        </w:rPr>
      </w:pPr>
    </w:p>
    <w:tbl>
      <w:tblPr>
        <w:tblW w:w="5000" w:type="pct"/>
        <w:tblLook w:val="04A0" w:firstRow="1" w:lastRow="0" w:firstColumn="1" w:lastColumn="0" w:noHBand="0" w:noVBand="1"/>
      </w:tblPr>
      <w:tblGrid>
        <w:gridCol w:w="1995"/>
        <w:gridCol w:w="7292"/>
      </w:tblGrid>
      <w:tr w:rsidRPr="009D7E2D" w:rsidR="009D7E2D" w:rsidTr="00A3780E" w14:paraId="5FEB6264" w14:textId="77777777">
        <w:tc>
          <w:tcPr>
            <w:tcW w:w="1074" w:type="pct"/>
          </w:tcPr>
          <w:p w:rsidRPr="009D7E2D" w:rsidR="009D7E2D" w:rsidP="00BE1F8F" w:rsidRDefault="009D7E2D" w14:paraId="1891296F" w14:textId="332D9305">
            <w:pPr>
              <w:overflowPunct w:val="0"/>
              <w:autoSpaceDE w:val="0"/>
              <w:autoSpaceDN w:val="0"/>
              <w:adjustRightInd w:val="0"/>
              <w:textAlignment w:val="baseline"/>
              <w:rPr>
                <w:i/>
              </w:rPr>
            </w:pPr>
            <w:r w:rsidRPr="009D7E2D">
              <w:rPr>
                <w:b/>
                <w:i/>
              </w:rPr>
              <w:t>Contact</w:t>
            </w:r>
            <w:r w:rsidR="00C77862">
              <w:rPr>
                <w:b/>
                <w:i/>
              </w:rPr>
              <w:t>s</w:t>
            </w:r>
          </w:p>
        </w:tc>
        <w:tc>
          <w:tcPr>
            <w:tcW w:w="3926" w:type="pct"/>
          </w:tcPr>
          <w:p w:rsidR="00713105" w:rsidP="00BE1F8F" w:rsidRDefault="009D7E2D" w14:paraId="2EBED78A" w14:textId="77777777">
            <w:pPr>
              <w:overflowPunct w:val="0"/>
              <w:autoSpaceDE w:val="0"/>
              <w:autoSpaceDN w:val="0"/>
              <w:adjustRightInd w:val="0"/>
              <w:textAlignment w:val="baseline"/>
              <w:rPr>
                <w:bCs/>
                <w:i/>
              </w:rPr>
            </w:pPr>
            <w:r w:rsidRPr="009D7E2D">
              <w:rPr>
                <w:bCs/>
                <w:i/>
              </w:rPr>
              <w:t>Radoslava S</w:t>
            </w:r>
            <w:r w:rsidRPr="009D7E2D" w:rsidR="00866666">
              <w:rPr>
                <w:bCs/>
                <w:i/>
              </w:rPr>
              <w:t>tefankova</w:t>
            </w:r>
          </w:p>
          <w:p w:rsidRPr="009D7E2D" w:rsidR="009D7E2D" w:rsidP="00BE1F8F" w:rsidRDefault="009D7E2D" w14:paraId="13EF570E" w14:textId="166D0132">
            <w:pPr>
              <w:overflowPunct w:val="0"/>
              <w:autoSpaceDE w:val="0"/>
              <w:autoSpaceDN w:val="0"/>
              <w:adjustRightInd w:val="0"/>
              <w:textAlignment w:val="baseline"/>
              <w:rPr>
                <w:bCs/>
                <w:i/>
              </w:rPr>
            </w:pPr>
            <w:r w:rsidRPr="009D7E2D">
              <w:rPr>
                <w:bCs/>
                <w:i/>
              </w:rPr>
              <w:t>Yousra A</w:t>
            </w:r>
            <w:r w:rsidRPr="009D7E2D" w:rsidR="00866666">
              <w:rPr>
                <w:bCs/>
                <w:i/>
              </w:rPr>
              <w:t>sbouni</w:t>
            </w:r>
            <w:r w:rsidRPr="009D7E2D">
              <w:rPr>
                <w:bCs/>
                <w:i/>
              </w:rPr>
              <w:t xml:space="preserve"> E</w:t>
            </w:r>
            <w:r w:rsidR="00866666">
              <w:rPr>
                <w:bCs/>
                <w:i/>
              </w:rPr>
              <w:t>l</w:t>
            </w:r>
            <w:r w:rsidRPr="009D7E2D">
              <w:rPr>
                <w:bCs/>
                <w:i/>
              </w:rPr>
              <w:t xml:space="preserve"> O</w:t>
            </w:r>
            <w:r w:rsidRPr="009D7E2D" w:rsidR="00866666">
              <w:rPr>
                <w:bCs/>
                <w:i/>
              </w:rPr>
              <w:t>uahabi</w:t>
            </w:r>
          </w:p>
        </w:tc>
      </w:tr>
      <w:tr w:rsidRPr="009D7E2D" w:rsidR="009D7E2D" w:rsidTr="00A3780E" w14:paraId="56CD236C" w14:textId="77777777">
        <w:tc>
          <w:tcPr>
            <w:tcW w:w="1074" w:type="pct"/>
          </w:tcPr>
          <w:p w:rsidRPr="009D7E2D" w:rsidR="009D7E2D" w:rsidP="00BE1F8F" w:rsidRDefault="009D7E2D" w14:paraId="642A79E8" w14:textId="77777777">
            <w:pPr>
              <w:overflowPunct w:val="0"/>
              <w:autoSpaceDE w:val="0"/>
              <w:autoSpaceDN w:val="0"/>
              <w:adjustRightInd w:val="0"/>
              <w:textAlignment w:val="baseline"/>
              <w:rPr>
                <w:i/>
              </w:rPr>
            </w:pPr>
            <w:r w:rsidRPr="009D7E2D">
              <w:rPr>
                <w:i/>
              </w:rPr>
              <w:t>Tel.</w:t>
            </w:r>
          </w:p>
        </w:tc>
        <w:tc>
          <w:tcPr>
            <w:tcW w:w="3926" w:type="pct"/>
          </w:tcPr>
          <w:p w:rsidR="00866666" w:rsidP="00BE1F8F" w:rsidRDefault="009D7E2D" w14:paraId="6BF80798" w14:textId="77777777">
            <w:pPr>
              <w:overflowPunct w:val="0"/>
              <w:autoSpaceDE w:val="0"/>
              <w:autoSpaceDN w:val="0"/>
              <w:adjustRightInd w:val="0"/>
              <w:textAlignment w:val="baseline"/>
              <w:rPr>
                <w:i/>
              </w:rPr>
            </w:pPr>
            <w:r w:rsidRPr="009D7E2D">
              <w:rPr>
                <w:i/>
              </w:rPr>
              <w:t>+32 25468188</w:t>
            </w:r>
          </w:p>
          <w:p w:rsidRPr="009D7E2D" w:rsidR="009D7E2D" w:rsidP="00BE1F8F" w:rsidRDefault="009D7E2D" w14:paraId="4C93A27B" w14:textId="441660D1">
            <w:pPr>
              <w:overflowPunct w:val="0"/>
              <w:autoSpaceDE w:val="0"/>
              <w:autoSpaceDN w:val="0"/>
              <w:adjustRightInd w:val="0"/>
              <w:textAlignment w:val="baseline"/>
              <w:rPr>
                <w:i/>
              </w:rPr>
            </w:pPr>
            <w:r w:rsidRPr="009D7E2D">
              <w:rPr>
                <w:i/>
              </w:rPr>
              <w:t>+32 25468485</w:t>
            </w:r>
          </w:p>
        </w:tc>
      </w:tr>
      <w:tr w:rsidRPr="009D7E2D" w:rsidR="009D7E2D" w:rsidTr="00A3780E" w14:paraId="79FB8085" w14:textId="77777777">
        <w:tc>
          <w:tcPr>
            <w:tcW w:w="1074" w:type="pct"/>
          </w:tcPr>
          <w:p w:rsidRPr="009D7E2D" w:rsidR="009D7E2D" w:rsidP="00BE1F8F" w:rsidRDefault="009D7E2D" w14:paraId="16D4BECD" w14:textId="766DF770">
            <w:pPr>
              <w:overflowPunct w:val="0"/>
              <w:autoSpaceDE w:val="0"/>
              <w:autoSpaceDN w:val="0"/>
              <w:adjustRightInd w:val="0"/>
              <w:textAlignment w:val="baseline"/>
              <w:rPr>
                <w:i/>
              </w:rPr>
            </w:pPr>
            <w:r w:rsidRPr="009D7E2D">
              <w:rPr>
                <w:i/>
              </w:rPr>
              <w:t>Email</w:t>
            </w:r>
            <w:r w:rsidR="00C77862">
              <w:rPr>
                <w:i/>
              </w:rPr>
              <w:t>s</w:t>
            </w:r>
          </w:p>
        </w:tc>
        <w:tc>
          <w:tcPr>
            <w:tcW w:w="3926" w:type="pct"/>
          </w:tcPr>
          <w:p w:rsidRPr="009D7E2D" w:rsidR="009D7E2D" w:rsidP="00BE1F8F" w:rsidRDefault="002C4029" w14:paraId="7AA88CC5" w14:textId="77777777">
            <w:pPr>
              <w:overflowPunct w:val="0"/>
              <w:autoSpaceDE w:val="0"/>
              <w:autoSpaceDN w:val="0"/>
              <w:adjustRightInd w:val="0"/>
              <w:textAlignment w:val="baseline"/>
              <w:rPr>
                <w:lang w:val="en-GB"/>
              </w:rPr>
            </w:pPr>
            <w:hyperlink w:history="1" r:id="rId40">
              <w:r w:rsidRPr="009D7E2D" w:rsidR="009D7E2D">
                <w:rPr>
                  <w:i/>
                  <w:color w:val="0000FF"/>
                  <w:u w:val="single"/>
                </w:rPr>
                <w:t>Radoslava.Stefankova@eesc.europa.eu</w:t>
              </w:r>
            </w:hyperlink>
          </w:p>
          <w:p w:rsidRPr="009D7E2D" w:rsidR="009D7E2D" w:rsidP="00BE1F8F" w:rsidRDefault="002C4029" w14:paraId="2F2D5AA7" w14:textId="77777777">
            <w:pPr>
              <w:overflowPunct w:val="0"/>
              <w:autoSpaceDE w:val="0"/>
              <w:autoSpaceDN w:val="0"/>
              <w:adjustRightInd w:val="0"/>
              <w:textAlignment w:val="baseline"/>
              <w:rPr>
                <w:i/>
              </w:rPr>
            </w:pPr>
            <w:hyperlink w:history="1" r:id="rId41">
              <w:r w:rsidRPr="009D7E2D" w:rsidR="009D7E2D">
                <w:rPr>
                  <w:i/>
                  <w:iCs/>
                  <w:color w:val="0000FF"/>
                  <w:u w:val="single"/>
                  <w:lang w:val="en-GB"/>
                </w:rPr>
                <w:t>Yousra.Asbounielouahabi@eesc.europa.eu</w:t>
              </w:r>
            </w:hyperlink>
          </w:p>
        </w:tc>
      </w:tr>
    </w:tbl>
    <w:p w:rsidR="009D7E2D" w:rsidP="00BE1F8F" w:rsidRDefault="009D7E2D" w14:paraId="1988C04D" w14:textId="77777777">
      <w:pPr>
        <w:jc w:val="left"/>
        <w:rPr>
          <w:lang w:val="en-GB"/>
        </w:rPr>
      </w:pPr>
      <w:r>
        <w:rPr>
          <w:lang w:val="en-GB"/>
        </w:rPr>
        <w:br w:type="page"/>
      </w:r>
    </w:p>
    <w:p w:rsidRPr="00C43D3E" w:rsidR="00FD106B" w:rsidP="00C77862" w:rsidRDefault="002C4029" w14:paraId="3CC025EB" w14:textId="298D155B">
      <w:pPr>
        <w:widowControl w:val="0"/>
        <w:numPr>
          <w:ilvl w:val="0"/>
          <w:numId w:val="2"/>
        </w:numPr>
        <w:overflowPunct w:val="0"/>
        <w:autoSpaceDE w:val="0"/>
        <w:autoSpaceDN w:val="0"/>
        <w:adjustRightInd w:val="0"/>
        <w:ind w:hanging="567"/>
        <w:textAlignment w:val="baseline"/>
        <w:rPr>
          <w:b/>
          <w:lang w:val="en-GB"/>
        </w:rPr>
      </w:pPr>
      <w:hyperlink w:tgtFrame="_blank" w:history="1" r:id="rId42">
        <w:r w:rsidRPr="00FD106B" w:rsidR="00FD106B">
          <w:rPr>
            <w:b/>
            <w:bCs/>
            <w:i/>
            <w:iCs/>
            <w:color w:val="0000FF"/>
            <w:sz w:val="28"/>
            <w:szCs w:val="28"/>
            <w:u w:val="single"/>
            <w:lang w:val="en-GB"/>
          </w:rPr>
          <w:t>Assessment of the Letta and Draghi reports on the functioning and competitiveness of the EU's Single Market</w:t>
        </w:r>
      </w:hyperlink>
    </w:p>
    <w:p w:rsidRPr="00FD106B" w:rsidR="00627052" w:rsidP="00BE1F8F" w:rsidRDefault="00627052" w14:paraId="13CC97A0" w14:textId="77777777">
      <w:pPr>
        <w:widowControl w:val="0"/>
        <w:overflowPunct w:val="0"/>
        <w:autoSpaceDE w:val="0"/>
        <w:autoSpaceDN w:val="0"/>
        <w:adjustRightInd w:val="0"/>
        <w:ind w:left="284"/>
        <w:textAlignment w:val="baseline"/>
        <w:rPr>
          <w:b/>
          <w:lang w:val="en-GB"/>
        </w:rPr>
      </w:pPr>
    </w:p>
    <w:tbl>
      <w:tblPr>
        <w:tblW w:w="4941" w:type="pct"/>
        <w:tblLook w:val="04A0" w:firstRow="1" w:lastRow="0" w:firstColumn="1" w:lastColumn="0" w:noHBand="0" w:noVBand="1"/>
      </w:tblPr>
      <w:tblGrid>
        <w:gridCol w:w="2032"/>
        <w:gridCol w:w="7145"/>
      </w:tblGrid>
      <w:tr w:rsidRPr="00FD106B" w:rsidR="00FD106B" w:rsidTr="00713105" w14:paraId="6CE7B306" w14:textId="77777777">
        <w:tc>
          <w:tcPr>
            <w:tcW w:w="1107" w:type="pct"/>
          </w:tcPr>
          <w:p w:rsidRPr="00FD106B" w:rsidR="00FD106B" w:rsidP="00BE1F8F" w:rsidRDefault="00FD106B" w14:paraId="327B6AE9" w14:textId="77777777">
            <w:pPr>
              <w:tabs>
                <w:tab w:val="center" w:pos="284"/>
              </w:tabs>
              <w:overflowPunct w:val="0"/>
              <w:autoSpaceDE w:val="0"/>
              <w:autoSpaceDN w:val="0"/>
              <w:adjustRightInd w:val="0"/>
              <w:ind w:left="266" w:hanging="266"/>
              <w:textAlignment w:val="baseline"/>
              <w:rPr>
                <w:b/>
              </w:rPr>
            </w:pPr>
            <w:r w:rsidRPr="00FD106B">
              <w:rPr>
                <w:b/>
              </w:rPr>
              <w:t>Rapporteurs</w:t>
            </w:r>
          </w:p>
        </w:tc>
        <w:tc>
          <w:tcPr>
            <w:tcW w:w="3893" w:type="pct"/>
          </w:tcPr>
          <w:p w:rsidR="00FD106B" w:rsidP="00BE1F8F" w:rsidRDefault="00FD106B" w14:paraId="43C12B82" w14:textId="24791F53">
            <w:pPr>
              <w:tabs>
                <w:tab w:val="center" w:pos="284"/>
              </w:tabs>
              <w:overflowPunct w:val="0"/>
              <w:autoSpaceDE w:val="0"/>
              <w:autoSpaceDN w:val="0"/>
              <w:adjustRightInd w:val="0"/>
              <w:ind w:left="266" w:hanging="266"/>
              <w:textAlignment w:val="baseline"/>
            </w:pPr>
            <w:r w:rsidRPr="00FD106B">
              <w:t xml:space="preserve">Matteo Carlo BORSANI (Employers' Group </w:t>
            </w:r>
            <w:r w:rsidR="00627052">
              <w:t xml:space="preserve">- </w:t>
            </w:r>
            <w:r w:rsidRPr="00FD106B">
              <w:t>IT)</w:t>
            </w:r>
          </w:p>
          <w:p w:rsidRPr="00FD106B" w:rsidR="009A2569" w:rsidP="00BE1F8F" w:rsidRDefault="009A2569" w14:paraId="550E4016" w14:textId="61E3CEA7">
            <w:pPr>
              <w:tabs>
                <w:tab w:val="center" w:pos="284"/>
              </w:tabs>
              <w:overflowPunct w:val="0"/>
              <w:autoSpaceDE w:val="0"/>
              <w:autoSpaceDN w:val="0"/>
              <w:adjustRightInd w:val="0"/>
              <w:ind w:left="266" w:hanging="266"/>
              <w:textAlignment w:val="baseline"/>
            </w:pPr>
            <w:r w:rsidRPr="009A2569">
              <w:t>Stefano PALMIERI (Workers' Group - IT)</w:t>
            </w:r>
          </w:p>
          <w:p w:rsidRPr="00FD106B" w:rsidR="00FD106B" w:rsidP="00BE1F8F" w:rsidRDefault="00FD106B" w14:paraId="291D8799" w14:textId="6ED3A591">
            <w:pPr>
              <w:tabs>
                <w:tab w:val="center" w:pos="284"/>
              </w:tabs>
              <w:overflowPunct w:val="0"/>
              <w:autoSpaceDE w:val="0"/>
              <w:autoSpaceDN w:val="0"/>
              <w:adjustRightInd w:val="0"/>
              <w:ind w:left="266" w:hanging="266"/>
              <w:textAlignment w:val="baseline"/>
            </w:pPr>
            <w:r w:rsidRPr="00FD106B">
              <w:t>Giuseppe GUERINI (Civil Society Organisations' Group - IT)</w:t>
            </w:r>
          </w:p>
        </w:tc>
      </w:tr>
      <w:tr w:rsidRPr="00FD106B" w:rsidR="00FD106B" w:rsidTr="00713105" w14:paraId="63D5E164" w14:textId="77777777">
        <w:tc>
          <w:tcPr>
            <w:tcW w:w="1107" w:type="pct"/>
            <w:vMerge w:val="restart"/>
          </w:tcPr>
          <w:p w:rsidRPr="00FD106B" w:rsidR="00FD106B" w:rsidP="00BE1F8F" w:rsidRDefault="00FD106B" w14:paraId="2C38529F" w14:textId="7DEB39C5">
            <w:pPr>
              <w:tabs>
                <w:tab w:val="center" w:pos="284"/>
              </w:tabs>
              <w:overflowPunct w:val="0"/>
              <w:autoSpaceDE w:val="0"/>
              <w:autoSpaceDN w:val="0"/>
              <w:adjustRightInd w:val="0"/>
              <w:ind w:left="266" w:hanging="266"/>
              <w:textAlignment w:val="baseline"/>
              <w:rPr>
                <w:b/>
              </w:rPr>
            </w:pPr>
            <w:r w:rsidRPr="00FD106B">
              <w:rPr>
                <w:b/>
              </w:rPr>
              <w:t>Reference</w:t>
            </w:r>
          </w:p>
        </w:tc>
        <w:tc>
          <w:tcPr>
            <w:tcW w:w="3893" w:type="pct"/>
          </w:tcPr>
          <w:p w:rsidRPr="00FD106B" w:rsidR="00FD106B" w:rsidP="00BE1F8F" w:rsidRDefault="00FD106B" w14:paraId="07C67728" w14:textId="77777777">
            <w:pPr>
              <w:tabs>
                <w:tab w:val="center" w:pos="284"/>
              </w:tabs>
              <w:overflowPunct w:val="0"/>
              <w:autoSpaceDE w:val="0"/>
              <w:autoSpaceDN w:val="0"/>
              <w:adjustRightInd w:val="0"/>
              <w:ind w:left="266" w:hanging="266"/>
              <w:textAlignment w:val="baseline"/>
            </w:pPr>
            <w:r w:rsidRPr="00FD106B">
              <w:t>Own-initiative opinion</w:t>
            </w:r>
          </w:p>
        </w:tc>
      </w:tr>
      <w:tr w:rsidRPr="00FD106B" w:rsidR="00FD106B" w:rsidTr="00713105" w14:paraId="5BF5DD36" w14:textId="77777777">
        <w:tc>
          <w:tcPr>
            <w:tcW w:w="1107" w:type="pct"/>
            <w:vMerge/>
          </w:tcPr>
          <w:p w:rsidRPr="00FD106B" w:rsidR="00FD106B" w:rsidP="00BE1F8F" w:rsidRDefault="00FD106B" w14:paraId="1F34AB72" w14:textId="77777777">
            <w:pPr>
              <w:tabs>
                <w:tab w:val="center" w:pos="284"/>
              </w:tabs>
              <w:overflowPunct w:val="0"/>
              <w:autoSpaceDE w:val="0"/>
              <w:autoSpaceDN w:val="0"/>
              <w:adjustRightInd w:val="0"/>
              <w:ind w:left="266" w:hanging="266"/>
              <w:textAlignment w:val="baseline"/>
              <w:rPr>
                <w:b/>
              </w:rPr>
            </w:pPr>
          </w:p>
        </w:tc>
        <w:tc>
          <w:tcPr>
            <w:tcW w:w="3893" w:type="pct"/>
          </w:tcPr>
          <w:p w:rsidRPr="00FD106B" w:rsidR="00FD106B" w:rsidP="00BE1F8F" w:rsidRDefault="00FD106B" w14:paraId="42A20064" w14:textId="77777777">
            <w:pPr>
              <w:tabs>
                <w:tab w:val="center" w:pos="284"/>
              </w:tabs>
              <w:overflowPunct w:val="0"/>
              <w:autoSpaceDE w:val="0"/>
              <w:autoSpaceDN w:val="0"/>
              <w:adjustRightInd w:val="0"/>
              <w:ind w:left="266" w:hanging="266"/>
              <w:textAlignment w:val="baseline"/>
            </w:pPr>
            <w:r w:rsidRPr="00FD106B">
              <w:t>EESC-2024-03441-00-00-AC</w:t>
            </w:r>
          </w:p>
        </w:tc>
      </w:tr>
    </w:tbl>
    <w:p w:rsidRPr="00FD106B" w:rsidR="00FD106B" w:rsidP="00BE1F8F" w:rsidRDefault="00FD106B" w14:paraId="02343524" w14:textId="77777777">
      <w:pPr>
        <w:tabs>
          <w:tab w:val="center" w:pos="284"/>
        </w:tabs>
        <w:overflowPunct w:val="0"/>
        <w:autoSpaceDE w:val="0"/>
        <w:autoSpaceDN w:val="0"/>
        <w:adjustRightInd w:val="0"/>
        <w:ind w:left="266" w:hanging="266"/>
        <w:textAlignment w:val="baseline"/>
        <w:rPr>
          <w:lang w:val="en-GB"/>
        </w:rPr>
      </w:pPr>
    </w:p>
    <w:p w:rsidRPr="00FD106B" w:rsidR="00FD106B" w:rsidP="00BE1F8F" w:rsidRDefault="00FD106B" w14:paraId="27E7555C" w14:textId="77777777">
      <w:pPr>
        <w:keepNext/>
        <w:keepLines/>
        <w:tabs>
          <w:tab w:val="center" w:pos="284"/>
        </w:tabs>
        <w:overflowPunct w:val="0"/>
        <w:autoSpaceDE w:val="0"/>
        <w:autoSpaceDN w:val="0"/>
        <w:adjustRightInd w:val="0"/>
        <w:ind w:left="266" w:hanging="266"/>
        <w:textAlignment w:val="baseline"/>
        <w:rPr>
          <w:b/>
          <w:lang w:val="en-GB"/>
        </w:rPr>
      </w:pPr>
      <w:r w:rsidRPr="00FD106B">
        <w:rPr>
          <w:b/>
          <w:lang w:val="en-GB"/>
        </w:rPr>
        <w:t>Key points</w:t>
      </w:r>
    </w:p>
    <w:p w:rsidRPr="00FD106B" w:rsidR="00FD106B" w:rsidP="00BE1F8F" w:rsidRDefault="00FD106B" w14:paraId="70C27580" w14:textId="77777777">
      <w:pPr>
        <w:keepNext/>
        <w:keepLines/>
        <w:tabs>
          <w:tab w:val="center" w:pos="284"/>
        </w:tabs>
        <w:overflowPunct w:val="0"/>
        <w:autoSpaceDE w:val="0"/>
        <w:autoSpaceDN w:val="0"/>
        <w:adjustRightInd w:val="0"/>
        <w:ind w:left="266" w:hanging="266"/>
        <w:textAlignment w:val="baseline"/>
        <w:rPr>
          <w:b/>
          <w:lang w:val="en-GB"/>
        </w:rPr>
      </w:pPr>
    </w:p>
    <w:p w:rsidR="00FD106B" w:rsidP="00BE1F8F" w:rsidRDefault="00FD106B" w14:paraId="6F22A07D" w14:textId="77777777">
      <w:pPr>
        <w:overflowPunct w:val="0"/>
        <w:autoSpaceDE w:val="0"/>
        <w:autoSpaceDN w:val="0"/>
        <w:adjustRightInd w:val="0"/>
        <w:textAlignment w:val="baseline"/>
        <w:rPr>
          <w:bCs/>
          <w:iCs/>
          <w:lang w:val="en-GB"/>
        </w:rPr>
      </w:pPr>
      <w:r w:rsidRPr="00FD106B">
        <w:rPr>
          <w:bCs/>
          <w:iCs/>
          <w:lang w:val="en-GB"/>
        </w:rPr>
        <w:t>The EESC:</w:t>
      </w:r>
    </w:p>
    <w:p w:rsidRPr="00FD106B" w:rsidR="00FD106B" w:rsidP="00BE1F8F" w:rsidRDefault="00FD106B" w14:paraId="1E73D851" w14:textId="77777777">
      <w:pPr>
        <w:widowControl w:val="0"/>
        <w:numPr>
          <w:ilvl w:val="0"/>
          <w:numId w:val="30"/>
        </w:numPr>
        <w:overflowPunct w:val="0"/>
        <w:autoSpaceDE w:val="0"/>
        <w:autoSpaceDN w:val="0"/>
        <w:adjustRightInd w:val="0"/>
        <w:ind w:left="284" w:hanging="284"/>
        <w:textAlignment w:val="baseline"/>
        <w:rPr>
          <w:szCs w:val="20"/>
          <w:lang w:val="en-GB"/>
        </w:rPr>
      </w:pPr>
      <w:r w:rsidRPr="00FD106B">
        <w:rPr>
          <w:szCs w:val="20"/>
          <w:lang w:val="en-GB"/>
        </w:rPr>
        <w:t xml:space="preserve">emphasizes the urgent need to </w:t>
      </w:r>
      <w:r w:rsidRPr="00FD106B">
        <w:rPr>
          <w:b/>
          <w:bCs/>
          <w:szCs w:val="20"/>
          <w:lang w:val="en-GB"/>
        </w:rPr>
        <w:t>boost European competitiveness while ensuring sustainability and social cohesion</w:t>
      </w:r>
      <w:r w:rsidRPr="00FD106B">
        <w:rPr>
          <w:szCs w:val="20"/>
          <w:lang w:val="en-GB"/>
        </w:rPr>
        <w:t>. The EU faces increasing global competition and must take decisive action to strengthen its economic position. However, this should not come at the expense of environmental sustainability, workers' rights, or regional balance. The EESC calls for an approach that integrates economic growth with the principles of social and territorial cohesion.</w:t>
      </w:r>
    </w:p>
    <w:p w:rsidRPr="00FD106B" w:rsidR="00FD106B" w:rsidP="00BE1F8F" w:rsidRDefault="00FD106B" w14:paraId="5D3E6D79" w14:textId="77777777">
      <w:pPr>
        <w:widowControl w:val="0"/>
        <w:numPr>
          <w:ilvl w:val="0"/>
          <w:numId w:val="30"/>
        </w:numPr>
        <w:overflowPunct w:val="0"/>
        <w:autoSpaceDE w:val="0"/>
        <w:autoSpaceDN w:val="0"/>
        <w:adjustRightInd w:val="0"/>
        <w:ind w:left="284" w:hanging="284"/>
        <w:textAlignment w:val="baseline"/>
        <w:rPr>
          <w:szCs w:val="20"/>
          <w:lang w:val="en-GB"/>
        </w:rPr>
      </w:pPr>
      <w:r w:rsidRPr="00FD106B">
        <w:rPr>
          <w:szCs w:val="20"/>
          <w:lang w:val="en-GB"/>
        </w:rPr>
        <w:t xml:space="preserve">calls for </w:t>
      </w:r>
      <w:r w:rsidRPr="00FD106B">
        <w:rPr>
          <w:b/>
          <w:bCs/>
          <w:szCs w:val="20"/>
          <w:lang w:val="en-GB"/>
        </w:rPr>
        <w:t>increased investments in key areas such as social infrastructure, digital transformation, and energy transition</w:t>
      </w:r>
      <w:r w:rsidRPr="00FD106B">
        <w:rPr>
          <w:szCs w:val="20"/>
          <w:lang w:val="en-GB"/>
        </w:rPr>
        <w:t>. Recognizing that competitiveness relies on strong foundations, the EESC stresses the need for substantial investments in modern infrastructure, including education, research, digitalization, and renewable energy. These investments are essential to maintaining Europe's economic strength while addressing demographic shifts, technological advancements, and climate challenges.</w:t>
      </w:r>
    </w:p>
    <w:p w:rsidRPr="00FD106B" w:rsidR="00FD106B" w:rsidP="00BE1F8F" w:rsidRDefault="00FD106B" w14:paraId="3EFA90D3" w14:textId="77777777">
      <w:pPr>
        <w:widowControl w:val="0"/>
        <w:numPr>
          <w:ilvl w:val="0"/>
          <w:numId w:val="30"/>
        </w:numPr>
        <w:overflowPunct w:val="0"/>
        <w:autoSpaceDE w:val="0"/>
        <w:autoSpaceDN w:val="0"/>
        <w:adjustRightInd w:val="0"/>
        <w:ind w:left="284" w:hanging="284"/>
        <w:textAlignment w:val="baseline"/>
        <w:rPr>
          <w:szCs w:val="20"/>
          <w:lang w:val="en-GB"/>
        </w:rPr>
      </w:pPr>
      <w:r w:rsidRPr="00FD106B">
        <w:rPr>
          <w:szCs w:val="20"/>
          <w:lang w:val="en-GB"/>
        </w:rPr>
        <w:t xml:space="preserve">stresses that the EU must actively shape global economic transformation rather than merely preserving past achievements. The EESC underlines that Europe is at a crossroads: it can either take a proactive role in global economic transformation or risk falling behind. This means </w:t>
      </w:r>
      <w:r w:rsidRPr="00FD106B">
        <w:rPr>
          <w:b/>
          <w:bCs/>
          <w:szCs w:val="20"/>
          <w:lang w:val="en-GB"/>
        </w:rPr>
        <w:t>adapting the single market to new geopolitical realities</w:t>
      </w:r>
      <w:r w:rsidRPr="00FD106B">
        <w:rPr>
          <w:szCs w:val="20"/>
          <w:lang w:val="en-GB"/>
        </w:rPr>
        <w:t xml:space="preserve">, reducing strategic dependences on non-EU supply chains, and enhancing Europe's role in strategic industries. </w:t>
      </w:r>
    </w:p>
    <w:p w:rsidRPr="00FD106B" w:rsidR="00FD106B" w:rsidP="00BE1F8F" w:rsidRDefault="00FD106B" w14:paraId="2D92CEA3" w14:textId="77777777">
      <w:pPr>
        <w:widowControl w:val="0"/>
        <w:overflowPunct w:val="0"/>
        <w:autoSpaceDE w:val="0"/>
        <w:autoSpaceDN w:val="0"/>
        <w:adjustRightInd w:val="0"/>
        <w:ind w:left="709"/>
        <w:textAlignment w:val="baseline"/>
        <w:rPr>
          <w:szCs w:val="20"/>
          <w:lang w:val="en-GB"/>
        </w:rPr>
      </w:pPr>
    </w:p>
    <w:tbl>
      <w:tblPr>
        <w:tblW w:w="5000" w:type="pct"/>
        <w:tblLook w:val="04A0" w:firstRow="1" w:lastRow="0" w:firstColumn="1" w:lastColumn="0" w:noHBand="0" w:noVBand="1"/>
      </w:tblPr>
      <w:tblGrid>
        <w:gridCol w:w="2025"/>
        <w:gridCol w:w="7262"/>
      </w:tblGrid>
      <w:tr w:rsidRPr="00FD106B" w:rsidR="00FD106B" w:rsidTr="00A3780E" w14:paraId="221C8BB2" w14:textId="77777777">
        <w:tc>
          <w:tcPr>
            <w:tcW w:w="1090" w:type="pct"/>
          </w:tcPr>
          <w:p w:rsidRPr="00FD106B" w:rsidR="00FD106B" w:rsidP="00BE1F8F" w:rsidRDefault="00FD106B" w14:paraId="740E10D6" w14:textId="77777777">
            <w:pPr>
              <w:overflowPunct w:val="0"/>
              <w:autoSpaceDE w:val="0"/>
              <w:autoSpaceDN w:val="0"/>
              <w:adjustRightInd w:val="0"/>
              <w:textAlignment w:val="baseline"/>
              <w:rPr>
                <w:i/>
              </w:rPr>
            </w:pPr>
            <w:r w:rsidRPr="00FD106B">
              <w:rPr>
                <w:b/>
                <w:i/>
              </w:rPr>
              <w:t>Contacts</w:t>
            </w:r>
          </w:p>
        </w:tc>
        <w:tc>
          <w:tcPr>
            <w:tcW w:w="3910" w:type="pct"/>
          </w:tcPr>
          <w:p w:rsidRPr="00FD106B" w:rsidR="00FD106B" w:rsidP="00BE1F8F" w:rsidRDefault="00FD106B" w14:paraId="5AA8E8D6" w14:textId="77777777">
            <w:pPr>
              <w:overflowPunct w:val="0"/>
              <w:autoSpaceDE w:val="0"/>
              <w:autoSpaceDN w:val="0"/>
              <w:adjustRightInd w:val="0"/>
              <w:textAlignment w:val="baseline"/>
              <w:rPr>
                <w:i/>
              </w:rPr>
            </w:pPr>
            <w:r w:rsidRPr="00FD106B">
              <w:rPr>
                <w:i/>
              </w:rPr>
              <w:t>Annalisa Tessarolo</w:t>
            </w:r>
          </w:p>
          <w:p w:rsidRPr="00FD106B" w:rsidR="00FD106B" w:rsidP="00BE1F8F" w:rsidRDefault="00FD106B" w14:paraId="1CF946C4" w14:textId="77777777">
            <w:pPr>
              <w:overflowPunct w:val="0"/>
              <w:autoSpaceDE w:val="0"/>
              <w:autoSpaceDN w:val="0"/>
              <w:adjustRightInd w:val="0"/>
              <w:textAlignment w:val="baseline"/>
              <w:rPr>
                <w:i/>
              </w:rPr>
            </w:pPr>
            <w:r w:rsidRPr="00FD106B">
              <w:rPr>
                <w:i/>
              </w:rPr>
              <w:t>Silvia Staffa</w:t>
            </w:r>
          </w:p>
        </w:tc>
      </w:tr>
      <w:tr w:rsidRPr="00FD106B" w:rsidR="00FD106B" w:rsidTr="00A3780E" w14:paraId="7C7B09FE" w14:textId="77777777">
        <w:tc>
          <w:tcPr>
            <w:tcW w:w="1090" w:type="pct"/>
          </w:tcPr>
          <w:p w:rsidRPr="00FD106B" w:rsidR="00FD106B" w:rsidP="00BE1F8F" w:rsidRDefault="00FD106B" w14:paraId="3C27F1DF" w14:textId="77777777">
            <w:pPr>
              <w:overflowPunct w:val="0"/>
              <w:autoSpaceDE w:val="0"/>
              <w:autoSpaceDN w:val="0"/>
              <w:adjustRightInd w:val="0"/>
              <w:textAlignment w:val="baseline"/>
              <w:rPr>
                <w:i/>
              </w:rPr>
            </w:pPr>
            <w:r w:rsidRPr="00FD106B">
              <w:rPr>
                <w:i/>
              </w:rPr>
              <w:t>Tel.</w:t>
            </w:r>
          </w:p>
        </w:tc>
        <w:tc>
          <w:tcPr>
            <w:tcW w:w="3910" w:type="pct"/>
          </w:tcPr>
          <w:p w:rsidRPr="00FD106B" w:rsidR="00FD106B" w:rsidP="00BE1F8F" w:rsidRDefault="00FD106B" w14:paraId="6376D96B" w14:textId="77777777">
            <w:pPr>
              <w:overflowPunct w:val="0"/>
              <w:autoSpaceDE w:val="0"/>
              <w:autoSpaceDN w:val="0"/>
              <w:adjustRightInd w:val="0"/>
              <w:textAlignment w:val="baseline"/>
              <w:rPr>
                <w:i/>
              </w:rPr>
            </w:pPr>
            <w:r w:rsidRPr="00FD106B">
              <w:rPr>
                <w:i/>
              </w:rPr>
              <w:t>+32 25469732</w:t>
            </w:r>
          </w:p>
          <w:p w:rsidRPr="00FD106B" w:rsidR="00FD106B" w:rsidP="00BE1F8F" w:rsidRDefault="00FD106B" w14:paraId="617FBCCE" w14:textId="77777777">
            <w:pPr>
              <w:overflowPunct w:val="0"/>
              <w:autoSpaceDE w:val="0"/>
              <w:autoSpaceDN w:val="0"/>
              <w:adjustRightInd w:val="0"/>
              <w:textAlignment w:val="baseline"/>
              <w:rPr>
                <w:i/>
              </w:rPr>
            </w:pPr>
            <w:r w:rsidRPr="00FD106B">
              <w:rPr>
                <w:i/>
              </w:rPr>
              <w:t>+32 25468378</w:t>
            </w:r>
          </w:p>
        </w:tc>
      </w:tr>
      <w:tr w:rsidRPr="00FD106B" w:rsidR="00FD106B" w:rsidTr="00A3780E" w14:paraId="28A6E007" w14:textId="77777777">
        <w:tc>
          <w:tcPr>
            <w:tcW w:w="1090" w:type="pct"/>
          </w:tcPr>
          <w:p w:rsidRPr="00FD106B" w:rsidR="00FD106B" w:rsidP="00BE1F8F" w:rsidRDefault="00FD106B" w14:paraId="173B4957" w14:textId="77777777">
            <w:pPr>
              <w:overflowPunct w:val="0"/>
              <w:autoSpaceDE w:val="0"/>
              <w:autoSpaceDN w:val="0"/>
              <w:adjustRightInd w:val="0"/>
              <w:textAlignment w:val="baseline"/>
              <w:rPr>
                <w:i/>
              </w:rPr>
            </w:pPr>
            <w:r w:rsidRPr="00FD106B">
              <w:rPr>
                <w:i/>
              </w:rPr>
              <w:t>Emails</w:t>
            </w:r>
          </w:p>
        </w:tc>
        <w:tc>
          <w:tcPr>
            <w:tcW w:w="3910" w:type="pct"/>
          </w:tcPr>
          <w:p w:rsidRPr="00FD106B" w:rsidR="00FD106B" w:rsidP="00BE1F8F" w:rsidRDefault="002C4029" w14:paraId="58795004" w14:textId="77777777">
            <w:pPr>
              <w:overflowPunct w:val="0"/>
              <w:autoSpaceDE w:val="0"/>
              <w:autoSpaceDN w:val="0"/>
              <w:adjustRightInd w:val="0"/>
              <w:textAlignment w:val="baseline"/>
              <w:rPr>
                <w:i/>
                <w:iCs/>
                <w:lang w:val="en-GB"/>
              </w:rPr>
            </w:pPr>
            <w:hyperlink w:history="1" r:id="rId43">
              <w:r w:rsidRPr="00FD106B" w:rsidR="00FD106B">
                <w:rPr>
                  <w:i/>
                  <w:iCs/>
                  <w:color w:val="0000FF"/>
                  <w:u w:val="single"/>
                  <w:lang w:val="en-GB"/>
                </w:rPr>
                <w:t>Annalisa.Tessarolo@eesc.europa.eu</w:t>
              </w:r>
            </w:hyperlink>
          </w:p>
          <w:p w:rsidRPr="00FD106B" w:rsidR="00FD106B" w:rsidP="00BE1F8F" w:rsidRDefault="002C4029" w14:paraId="40FF993F" w14:textId="77777777">
            <w:pPr>
              <w:overflowPunct w:val="0"/>
              <w:autoSpaceDE w:val="0"/>
              <w:autoSpaceDN w:val="0"/>
              <w:adjustRightInd w:val="0"/>
              <w:textAlignment w:val="baseline"/>
              <w:rPr>
                <w:i/>
              </w:rPr>
            </w:pPr>
            <w:hyperlink w:history="1" r:id="rId44">
              <w:r w:rsidRPr="00FD106B" w:rsidR="00FD106B">
                <w:rPr>
                  <w:i/>
                  <w:color w:val="0000FF"/>
                  <w:u w:val="single"/>
                  <w:lang w:val="en-GB"/>
                </w:rPr>
                <w:t>Silvia.Staffa</w:t>
              </w:r>
              <w:r w:rsidRPr="00FD106B" w:rsidR="00FD106B">
                <w:rPr>
                  <w:i/>
                  <w:color w:val="0000FF"/>
                  <w:u w:val="single"/>
                </w:rPr>
                <w:t>@eesc.europa.eu</w:t>
              </w:r>
            </w:hyperlink>
          </w:p>
        </w:tc>
      </w:tr>
    </w:tbl>
    <w:p w:rsidR="00FD106B" w:rsidP="00BE1F8F" w:rsidRDefault="00FD106B" w14:paraId="6389C470" w14:textId="77777777">
      <w:pPr>
        <w:jc w:val="left"/>
      </w:pPr>
    </w:p>
    <w:p w:rsidR="00FD106B" w:rsidP="00BE1F8F" w:rsidRDefault="00FD106B" w14:paraId="78591677" w14:textId="77777777">
      <w:pPr>
        <w:jc w:val="left"/>
      </w:pPr>
      <w:r>
        <w:br w:type="page"/>
      </w:r>
    </w:p>
    <w:p w:rsidRPr="00D03AEC" w:rsidR="00D03AEC" w:rsidP="00BE1F8F" w:rsidRDefault="002C4029" w14:paraId="5D829D13" w14:textId="2B5C8229">
      <w:pPr>
        <w:widowControl w:val="0"/>
        <w:numPr>
          <w:ilvl w:val="0"/>
          <w:numId w:val="2"/>
        </w:numPr>
        <w:overflowPunct w:val="0"/>
        <w:autoSpaceDE w:val="0"/>
        <w:autoSpaceDN w:val="0"/>
        <w:adjustRightInd w:val="0"/>
        <w:ind w:hanging="567"/>
        <w:textAlignment w:val="baseline"/>
        <w:rPr>
          <w:sz w:val="20"/>
          <w:szCs w:val="20"/>
          <w:lang w:val="en-GB"/>
        </w:rPr>
      </w:pPr>
      <w:hyperlink w:history="1" r:id="rId45">
        <w:r w:rsidRPr="00D03AEC" w:rsidR="00D03AEC">
          <w:rPr>
            <w:b/>
            <w:bCs/>
            <w:i/>
            <w:iCs/>
            <w:color w:val="0000FF"/>
            <w:sz w:val="28"/>
            <w:szCs w:val="28"/>
            <w:u w:val="single"/>
            <w:lang w:val="en-GB"/>
          </w:rPr>
          <w:t>The competitiveness</w:t>
        </w:r>
        <w:r w:rsidR="00E55DDF">
          <w:rPr>
            <w:b/>
            <w:bCs/>
            <w:i/>
            <w:iCs/>
            <w:color w:val="0000FF"/>
            <w:sz w:val="28"/>
            <w:szCs w:val="28"/>
            <w:u w:val="single"/>
            <w:lang w:val="en-GB"/>
          </w:rPr>
          <w:t xml:space="preserve"> of the EU's small and medium-sized enterprises in light</w:t>
        </w:r>
        <w:r w:rsidRPr="00D03AEC" w:rsidR="00D03AEC">
          <w:rPr>
            <w:b/>
            <w:bCs/>
            <w:i/>
            <w:iCs/>
            <w:color w:val="0000FF"/>
            <w:sz w:val="28"/>
            <w:szCs w:val="28"/>
            <w:u w:val="single"/>
            <w:lang w:val="en-GB"/>
          </w:rPr>
          <w:t xml:space="preserve"> of </w:t>
        </w:r>
        <w:r w:rsidR="00E55DDF">
          <w:rPr>
            <w:b/>
            <w:bCs/>
            <w:i/>
            <w:iCs/>
            <w:color w:val="0000FF"/>
            <w:sz w:val="28"/>
            <w:szCs w:val="28"/>
            <w:u w:val="single"/>
            <w:lang w:val="en-GB"/>
          </w:rPr>
          <w:t xml:space="preserve">new </w:t>
        </w:r>
        <w:r w:rsidRPr="00D03AEC" w:rsidR="00D03AEC">
          <w:rPr>
            <w:b/>
            <w:bCs/>
            <w:i/>
            <w:iCs/>
            <w:color w:val="0000FF"/>
            <w:sz w:val="28"/>
            <w:szCs w:val="28"/>
            <w:u w:val="single"/>
            <w:lang w:val="en-GB"/>
          </w:rPr>
          <w:t>administrative burdens</w:t>
        </w:r>
      </w:hyperlink>
      <w:r w:rsidRPr="00C43D3E" w:rsidR="00E55DDF">
        <w:rPr>
          <w:b/>
          <w:bCs/>
          <w:i/>
          <w:iCs/>
          <w:color w:val="0000FF"/>
          <w:sz w:val="28"/>
          <w:szCs w:val="28"/>
          <w:u w:val="single"/>
        </w:rPr>
        <w:t>/obligations</w:t>
      </w:r>
    </w:p>
    <w:p w:rsidRPr="00D03AEC" w:rsidR="00D03AEC" w:rsidP="00BE1F8F" w:rsidRDefault="00D03AEC" w14:paraId="76D0C029" w14:textId="77777777">
      <w:pPr>
        <w:tabs>
          <w:tab w:val="center" w:pos="284"/>
        </w:tabs>
        <w:overflowPunct w:val="0"/>
        <w:autoSpaceDE w:val="0"/>
        <w:autoSpaceDN w:val="0"/>
        <w:adjustRightInd w:val="0"/>
        <w:ind w:left="266" w:hanging="266"/>
        <w:textAlignment w:val="baseline"/>
        <w:rPr>
          <w:b/>
          <w:lang w:val="en-GB"/>
        </w:rPr>
      </w:pPr>
    </w:p>
    <w:tbl>
      <w:tblPr>
        <w:tblW w:w="4941" w:type="pct"/>
        <w:tblLook w:val="04A0" w:firstRow="1" w:lastRow="0" w:firstColumn="1" w:lastColumn="0" w:noHBand="0" w:noVBand="1"/>
      </w:tblPr>
      <w:tblGrid>
        <w:gridCol w:w="1452"/>
        <w:gridCol w:w="7725"/>
      </w:tblGrid>
      <w:tr w:rsidRPr="00D03AEC" w:rsidR="00D03AEC" w:rsidTr="00713105" w14:paraId="385F137A" w14:textId="77777777">
        <w:trPr>
          <w:trHeight w:val="323"/>
        </w:trPr>
        <w:tc>
          <w:tcPr>
            <w:tcW w:w="791" w:type="pct"/>
          </w:tcPr>
          <w:p w:rsidRPr="00D03AEC" w:rsidR="00D03AEC" w:rsidP="00BE1F8F" w:rsidRDefault="00D03AEC" w14:paraId="6D4FA2AD" w14:textId="44144662">
            <w:pPr>
              <w:tabs>
                <w:tab w:val="center" w:pos="284"/>
              </w:tabs>
              <w:overflowPunct w:val="0"/>
              <w:autoSpaceDE w:val="0"/>
              <w:autoSpaceDN w:val="0"/>
              <w:adjustRightInd w:val="0"/>
              <w:ind w:left="266" w:hanging="266"/>
              <w:textAlignment w:val="baseline"/>
              <w:rPr>
                <w:b/>
              </w:rPr>
            </w:pPr>
            <w:r w:rsidRPr="00D03AEC">
              <w:rPr>
                <w:b/>
              </w:rPr>
              <w:t>Rapporteur</w:t>
            </w:r>
          </w:p>
        </w:tc>
        <w:tc>
          <w:tcPr>
            <w:tcW w:w="4209" w:type="pct"/>
          </w:tcPr>
          <w:p w:rsidRPr="00D03AEC" w:rsidR="00D03AEC" w:rsidP="00BE1F8F" w:rsidRDefault="00D03AEC" w14:paraId="2320B226" w14:textId="16FA16A5">
            <w:pPr>
              <w:tabs>
                <w:tab w:val="center" w:pos="0"/>
              </w:tabs>
              <w:overflowPunct w:val="0"/>
              <w:autoSpaceDE w:val="0"/>
              <w:autoSpaceDN w:val="0"/>
              <w:adjustRightInd w:val="0"/>
              <w:ind w:left="266" w:right="-387" w:hanging="266"/>
              <w:textAlignment w:val="baseline"/>
              <w:rPr>
                <w:lang w:val="en-GB"/>
              </w:rPr>
            </w:pPr>
            <w:r w:rsidRPr="00D03AEC">
              <w:rPr>
                <w:bCs/>
              </w:rPr>
              <w:t xml:space="preserve">Paul RÜBIG </w:t>
            </w:r>
            <w:r w:rsidRPr="00D03AEC">
              <w:t xml:space="preserve">(Employers' Group </w:t>
            </w:r>
            <w:r w:rsidR="00CF233F">
              <w:rPr>
                <w:lang w:val="en-GB"/>
              </w:rPr>
              <w:t>-</w:t>
            </w:r>
            <w:r w:rsidRPr="00D03AEC">
              <w:rPr>
                <w:lang w:val="en-GB"/>
              </w:rPr>
              <w:t xml:space="preserve"> AT</w:t>
            </w:r>
            <w:r w:rsidRPr="00D03AEC">
              <w:t>)</w:t>
            </w:r>
          </w:p>
        </w:tc>
      </w:tr>
      <w:tr w:rsidRPr="00D03AEC" w:rsidR="00D03AEC" w:rsidTr="00713105" w14:paraId="2544DD25" w14:textId="77777777">
        <w:tc>
          <w:tcPr>
            <w:tcW w:w="791" w:type="pct"/>
          </w:tcPr>
          <w:p w:rsidRPr="00D03AEC" w:rsidR="00D03AEC" w:rsidP="00BE1F8F" w:rsidRDefault="00D03AEC" w14:paraId="327B0796" w14:textId="569A93C2">
            <w:pPr>
              <w:tabs>
                <w:tab w:val="center" w:pos="284"/>
              </w:tabs>
              <w:overflowPunct w:val="0"/>
              <w:autoSpaceDE w:val="0"/>
              <w:autoSpaceDN w:val="0"/>
              <w:adjustRightInd w:val="0"/>
              <w:ind w:left="266" w:hanging="266"/>
              <w:textAlignment w:val="baseline"/>
              <w:rPr>
                <w:b/>
              </w:rPr>
            </w:pPr>
            <w:r w:rsidRPr="00D03AEC">
              <w:rPr>
                <w:b/>
              </w:rPr>
              <w:t>Reference</w:t>
            </w:r>
          </w:p>
        </w:tc>
        <w:tc>
          <w:tcPr>
            <w:tcW w:w="4209" w:type="pct"/>
          </w:tcPr>
          <w:p w:rsidRPr="00D03AEC" w:rsidR="00D03AEC" w:rsidP="00BE1F8F" w:rsidRDefault="00D03AEC" w14:paraId="34DEDE49" w14:textId="588F8405">
            <w:pPr>
              <w:tabs>
                <w:tab w:val="center" w:pos="284"/>
              </w:tabs>
              <w:overflowPunct w:val="0"/>
              <w:autoSpaceDE w:val="0"/>
              <w:autoSpaceDN w:val="0"/>
              <w:adjustRightInd w:val="0"/>
              <w:ind w:left="266" w:right="-387" w:hanging="266"/>
              <w:textAlignment w:val="baseline"/>
              <w:rPr>
                <w:lang w:val="en-GB"/>
              </w:rPr>
            </w:pPr>
            <w:r w:rsidRPr="00D03AEC">
              <w:rPr>
                <w:lang w:val="en-GB"/>
              </w:rPr>
              <w:t>Exploratory opinion</w:t>
            </w:r>
            <w:r w:rsidRPr="009D7E2D" w:rsidR="00CC44CF">
              <w:rPr>
                <w:lang w:val="en-GB"/>
              </w:rPr>
              <w:t xml:space="preserve"> requested by the Polish Presidency</w:t>
            </w:r>
            <w:r w:rsidR="00CC44CF">
              <w:t xml:space="preserve"> </w:t>
            </w:r>
            <w:r w:rsidRPr="00D92715" w:rsidR="00CC44CF">
              <w:rPr>
                <w:lang w:val="en-GB"/>
              </w:rPr>
              <w:t>of the Council of the EU</w:t>
            </w:r>
          </w:p>
          <w:p w:rsidRPr="00D03AEC" w:rsidR="00D03AEC" w:rsidP="00BE1F8F" w:rsidRDefault="00D03AEC" w14:paraId="6502535C" w14:textId="77777777">
            <w:pPr>
              <w:tabs>
                <w:tab w:val="center" w:pos="284"/>
              </w:tabs>
              <w:overflowPunct w:val="0"/>
              <w:autoSpaceDE w:val="0"/>
              <w:autoSpaceDN w:val="0"/>
              <w:adjustRightInd w:val="0"/>
              <w:ind w:left="266" w:right="-387" w:hanging="266"/>
              <w:textAlignment w:val="baseline"/>
            </w:pPr>
            <w:r w:rsidRPr="00D03AEC">
              <w:rPr>
                <w:lang w:val="en-GB"/>
              </w:rPr>
              <w:t>EESC-2024-03549-00-00-AC</w:t>
            </w:r>
          </w:p>
        </w:tc>
      </w:tr>
    </w:tbl>
    <w:p w:rsidRPr="00D03AEC" w:rsidR="00D03AEC" w:rsidP="00BE1F8F" w:rsidRDefault="00D03AEC" w14:paraId="5DE49D6C" w14:textId="77777777">
      <w:pPr>
        <w:tabs>
          <w:tab w:val="center" w:pos="284"/>
        </w:tabs>
        <w:overflowPunct w:val="0"/>
        <w:autoSpaceDE w:val="0"/>
        <w:autoSpaceDN w:val="0"/>
        <w:adjustRightInd w:val="0"/>
        <w:ind w:left="266" w:hanging="266"/>
        <w:textAlignment w:val="baseline"/>
        <w:rPr>
          <w:b/>
          <w:lang w:val="en-GB"/>
        </w:rPr>
      </w:pPr>
    </w:p>
    <w:p w:rsidRPr="00D03AEC" w:rsidR="00D03AEC" w:rsidP="00BE1F8F" w:rsidRDefault="00D03AEC" w14:paraId="26780EEE" w14:textId="77777777">
      <w:pPr>
        <w:tabs>
          <w:tab w:val="center" w:pos="284"/>
        </w:tabs>
        <w:overflowPunct w:val="0"/>
        <w:autoSpaceDE w:val="0"/>
        <w:autoSpaceDN w:val="0"/>
        <w:adjustRightInd w:val="0"/>
        <w:ind w:left="266" w:hanging="266"/>
        <w:textAlignment w:val="baseline"/>
        <w:rPr>
          <w:b/>
          <w:lang w:val="en-GB"/>
        </w:rPr>
      </w:pPr>
      <w:r w:rsidRPr="00D03AEC">
        <w:rPr>
          <w:b/>
          <w:lang w:val="en-GB"/>
        </w:rPr>
        <w:t>Key points</w:t>
      </w:r>
    </w:p>
    <w:p w:rsidRPr="00D03AEC" w:rsidR="00D03AEC" w:rsidP="00BE1F8F" w:rsidRDefault="00D03AEC" w14:paraId="66E17A01" w14:textId="77777777">
      <w:pPr>
        <w:tabs>
          <w:tab w:val="center" w:pos="284"/>
        </w:tabs>
        <w:overflowPunct w:val="0"/>
        <w:autoSpaceDE w:val="0"/>
        <w:autoSpaceDN w:val="0"/>
        <w:adjustRightInd w:val="0"/>
        <w:ind w:left="266" w:hanging="266"/>
        <w:textAlignment w:val="baseline"/>
        <w:rPr>
          <w:bCs/>
          <w:lang w:val="en-GB"/>
        </w:rPr>
      </w:pPr>
    </w:p>
    <w:p w:rsidRPr="00D03AEC" w:rsidR="00D03AEC" w:rsidP="00BE1F8F" w:rsidRDefault="00D03AEC" w14:paraId="73126562" w14:textId="77777777">
      <w:pPr>
        <w:overflowPunct w:val="0"/>
        <w:autoSpaceDE w:val="0"/>
        <w:autoSpaceDN w:val="0"/>
        <w:adjustRightInd w:val="0"/>
        <w:textAlignment w:val="baseline"/>
        <w:rPr>
          <w:bCs/>
          <w:iCs/>
          <w:lang w:val="en-GB"/>
        </w:rPr>
      </w:pPr>
      <w:r w:rsidRPr="00D03AEC">
        <w:rPr>
          <w:bCs/>
          <w:iCs/>
          <w:lang w:val="en-GB"/>
        </w:rPr>
        <w:t>The EESC:</w:t>
      </w:r>
    </w:p>
    <w:p w:rsidRPr="00D03AEC" w:rsidR="00D03AEC" w:rsidP="00BE1F8F" w:rsidRDefault="00D03AEC" w14:paraId="551D5FDC" w14:textId="77777777">
      <w:pPr>
        <w:numPr>
          <w:ilvl w:val="0"/>
          <w:numId w:val="31"/>
        </w:numPr>
        <w:overflowPunct w:val="0"/>
        <w:autoSpaceDE w:val="0"/>
        <w:autoSpaceDN w:val="0"/>
        <w:adjustRightInd w:val="0"/>
        <w:ind w:left="284" w:hanging="284"/>
        <w:contextualSpacing/>
        <w:textAlignment w:val="baseline"/>
        <w:rPr>
          <w:bCs/>
          <w:iCs/>
          <w:lang w:val="en-GB"/>
        </w:rPr>
      </w:pPr>
      <w:r w:rsidRPr="00D03AEC">
        <w:rPr>
          <w:bCs/>
          <w:iCs/>
          <w:lang w:val="en-GB"/>
        </w:rPr>
        <w:t>considers that, despite the launch of different EU initiatives in the past,</w:t>
      </w:r>
      <w:r w:rsidRPr="00D03AEC">
        <w:rPr>
          <w:lang w:val="en-GB" w:eastAsia="zh-CN"/>
        </w:rPr>
        <w:t xml:space="preserve"> </w:t>
      </w:r>
      <w:r w:rsidRPr="00D03AEC">
        <w:rPr>
          <w:bCs/>
          <w:iCs/>
          <w:lang w:val="en-GB" w:eastAsia="zh-CN"/>
        </w:rPr>
        <w:t xml:space="preserve">further improvements on the reduction of the regulatory burden are still required, given that </w:t>
      </w:r>
      <w:r w:rsidRPr="00D03AEC">
        <w:rPr>
          <w:bCs/>
          <w:iCs/>
          <w:lang w:val="en-GB"/>
        </w:rPr>
        <w:t>SMEs are facing double and triple legislative requirements as a result of the additional wave of regulation and existing requirements, also in relation to the Green Deal;</w:t>
      </w:r>
    </w:p>
    <w:p w:rsidRPr="00D03AEC" w:rsidR="00D03AEC" w:rsidP="00BE1F8F" w:rsidRDefault="00D03AEC" w14:paraId="62F36A43" w14:textId="77777777">
      <w:pPr>
        <w:numPr>
          <w:ilvl w:val="0"/>
          <w:numId w:val="31"/>
        </w:numPr>
        <w:overflowPunct w:val="0"/>
        <w:autoSpaceDE w:val="0"/>
        <w:autoSpaceDN w:val="0"/>
        <w:adjustRightInd w:val="0"/>
        <w:ind w:left="284" w:hanging="284"/>
        <w:contextualSpacing/>
        <w:textAlignment w:val="baseline"/>
        <w:rPr>
          <w:bCs/>
          <w:iCs/>
          <w:lang w:val="en-GB"/>
        </w:rPr>
      </w:pPr>
      <w:r w:rsidRPr="00D03AEC">
        <w:rPr>
          <w:bCs/>
          <w:iCs/>
          <w:lang w:val="en-GB"/>
        </w:rPr>
        <w:t>takes the view, at the same time, that reducing the regulatory burden must not jeopardise compliance with social, environmental and consumer safety rights and standards established at international and EU levels, as well as with the principle of transparency and the rule of law in the EU;</w:t>
      </w:r>
    </w:p>
    <w:p w:rsidRPr="00D03AEC" w:rsidR="00D03AEC" w:rsidP="00BE1F8F" w:rsidRDefault="00D03AEC" w14:paraId="2F408966" w14:textId="77777777">
      <w:pPr>
        <w:numPr>
          <w:ilvl w:val="0"/>
          <w:numId w:val="31"/>
        </w:numPr>
        <w:overflowPunct w:val="0"/>
        <w:autoSpaceDE w:val="0"/>
        <w:autoSpaceDN w:val="0"/>
        <w:adjustRightInd w:val="0"/>
        <w:ind w:left="284" w:hanging="284"/>
        <w:contextualSpacing/>
        <w:textAlignment w:val="baseline"/>
        <w:rPr>
          <w:bCs/>
          <w:iCs/>
          <w:lang w:val="en-GB"/>
        </w:rPr>
      </w:pPr>
      <w:r w:rsidRPr="00D03AEC">
        <w:rPr>
          <w:bCs/>
          <w:iCs/>
          <w:lang w:val="en-GB"/>
        </w:rPr>
        <w:t>recommends that the Regulatory Scrutiny Board (RSB) is significantly strengthened and made more independent, by carrying out a ‘consistency and subsidiarity check’ at the beginning of each legislative process and being empowered with appropriate revision and advisory rights;</w:t>
      </w:r>
    </w:p>
    <w:p w:rsidRPr="00D03AEC" w:rsidR="00D03AEC" w:rsidP="00BE1F8F" w:rsidRDefault="00D03AEC" w14:paraId="59E3C799" w14:textId="77777777">
      <w:pPr>
        <w:numPr>
          <w:ilvl w:val="0"/>
          <w:numId w:val="31"/>
        </w:numPr>
        <w:overflowPunct w:val="0"/>
        <w:autoSpaceDE w:val="0"/>
        <w:autoSpaceDN w:val="0"/>
        <w:adjustRightInd w:val="0"/>
        <w:ind w:left="284" w:hanging="284"/>
        <w:contextualSpacing/>
        <w:textAlignment w:val="baseline"/>
        <w:rPr>
          <w:bCs/>
          <w:iCs/>
          <w:lang w:val="en-GB"/>
        </w:rPr>
      </w:pPr>
      <w:r w:rsidRPr="00D03AEC">
        <w:rPr>
          <w:bCs/>
          <w:iCs/>
          <w:lang w:val="en-GB"/>
        </w:rPr>
        <w:t>recommends that the SME test and the competitiveness check should be merged into one procedure;</w:t>
      </w:r>
    </w:p>
    <w:p w:rsidRPr="00D03AEC" w:rsidR="00D03AEC" w:rsidP="00BE1F8F" w:rsidRDefault="00D03AEC" w14:paraId="126D259B" w14:textId="77777777">
      <w:pPr>
        <w:numPr>
          <w:ilvl w:val="0"/>
          <w:numId w:val="31"/>
        </w:numPr>
        <w:overflowPunct w:val="0"/>
        <w:autoSpaceDE w:val="0"/>
        <w:autoSpaceDN w:val="0"/>
        <w:adjustRightInd w:val="0"/>
        <w:ind w:left="284" w:hanging="284"/>
        <w:contextualSpacing/>
        <w:textAlignment w:val="baseline"/>
        <w:rPr>
          <w:bCs/>
          <w:iCs/>
          <w:lang w:val="en-GB"/>
        </w:rPr>
      </w:pPr>
      <w:r w:rsidRPr="00D03AEC">
        <w:rPr>
          <w:bCs/>
          <w:iCs/>
          <w:lang w:val="en-GB"/>
        </w:rPr>
        <w:t>recommends making use of artificial intelligence and machine learning tools to create an easy-to-use ‘single reporting tool’ that can provide SMEs, mid-caps and other companies with all EU-relevant reporting obligations, deadlines and sanctions;</w:t>
      </w:r>
    </w:p>
    <w:p w:rsidRPr="00D03AEC" w:rsidR="00D03AEC" w:rsidP="00BE1F8F" w:rsidRDefault="00D03AEC" w14:paraId="004869CE" w14:textId="77777777">
      <w:pPr>
        <w:numPr>
          <w:ilvl w:val="0"/>
          <w:numId w:val="31"/>
        </w:numPr>
        <w:overflowPunct w:val="0"/>
        <w:autoSpaceDE w:val="0"/>
        <w:autoSpaceDN w:val="0"/>
        <w:adjustRightInd w:val="0"/>
        <w:ind w:left="284" w:hanging="284"/>
        <w:contextualSpacing/>
        <w:textAlignment w:val="baseline"/>
        <w:rPr>
          <w:bCs/>
          <w:iCs/>
          <w:lang w:val="en-GB"/>
        </w:rPr>
      </w:pPr>
      <w:r w:rsidRPr="00D03AEC">
        <w:rPr>
          <w:bCs/>
          <w:iCs/>
          <w:lang w:val="en-GB"/>
        </w:rPr>
        <w:t>points out the need for the European Parliament and the Council of the EU to develop an expedited procedure for impact and risk assessments carried out by their own policy departments in the case of amendments that would substantially reshape the proposals adopted by the European Commission;</w:t>
      </w:r>
    </w:p>
    <w:p w:rsidR="00D03AEC" w:rsidP="00BE1F8F" w:rsidRDefault="00D03AEC" w14:paraId="750FA3AD" w14:textId="77777777">
      <w:pPr>
        <w:numPr>
          <w:ilvl w:val="0"/>
          <w:numId w:val="31"/>
        </w:numPr>
        <w:overflowPunct w:val="0"/>
        <w:autoSpaceDE w:val="0"/>
        <w:autoSpaceDN w:val="0"/>
        <w:adjustRightInd w:val="0"/>
        <w:ind w:left="284" w:hanging="284"/>
        <w:contextualSpacing/>
        <w:textAlignment w:val="baseline"/>
        <w:rPr>
          <w:bCs/>
          <w:iCs/>
          <w:lang w:val="en-GB"/>
        </w:rPr>
      </w:pPr>
      <w:r w:rsidRPr="00D03AEC">
        <w:rPr>
          <w:bCs/>
          <w:iCs/>
          <w:lang w:val="en-GB"/>
        </w:rPr>
        <w:t>believes that the Council of the EU and national authorities should also make greater use of the opportunities for reviewing responsibilities (subsidiarity), particularly with regard to the impact on SMEs, consumers, administration and justice.</w:t>
      </w:r>
    </w:p>
    <w:p w:rsidRPr="00D03AEC" w:rsidR="00860DE0" w:rsidP="00BE1F8F" w:rsidRDefault="00860DE0" w14:paraId="70E7E138" w14:textId="77777777">
      <w:pPr>
        <w:overflowPunct w:val="0"/>
        <w:autoSpaceDE w:val="0"/>
        <w:autoSpaceDN w:val="0"/>
        <w:adjustRightInd w:val="0"/>
        <w:ind w:left="284"/>
        <w:contextualSpacing/>
        <w:textAlignment w:val="baseline"/>
        <w:rPr>
          <w:bCs/>
          <w:iCs/>
          <w:lang w:val="en-GB"/>
        </w:rPr>
      </w:pPr>
    </w:p>
    <w:tbl>
      <w:tblPr>
        <w:tblW w:w="5000" w:type="pct"/>
        <w:tblLook w:val="04A0" w:firstRow="1" w:lastRow="0" w:firstColumn="1" w:lastColumn="0" w:noHBand="0" w:noVBand="1"/>
      </w:tblPr>
      <w:tblGrid>
        <w:gridCol w:w="1662"/>
        <w:gridCol w:w="7625"/>
      </w:tblGrid>
      <w:tr w:rsidRPr="00D03AEC" w:rsidR="00D03AEC" w:rsidTr="00713105" w14:paraId="5FB02248" w14:textId="77777777">
        <w:tc>
          <w:tcPr>
            <w:tcW w:w="895" w:type="pct"/>
          </w:tcPr>
          <w:p w:rsidRPr="00D03AEC" w:rsidR="00D03AEC" w:rsidP="00BE1F8F" w:rsidRDefault="00D03AEC" w14:paraId="74072B9E" w14:textId="77777777">
            <w:pPr>
              <w:overflowPunct w:val="0"/>
              <w:autoSpaceDE w:val="0"/>
              <w:autoSpaceDN w:val="0"/>
              <w:adjustRightInd w:val="0"/>
              <w:textAlignment w:val="baseline"/>
              <w:rPr>
                <w:i/>
              </w:rPr>
            </w:pPr>
            <w:r w:rsidRPr="00D03AEC">
              <w:rPr>
                <w:b/>
                <w:i/>
              </w:rPr>
              <w:t>Contact</w:t>
            </w:r>
          </w:p>
        </w:tc>
        <w:tc>
          <w:tcPr>
            <w:tcW w:w="4105" w:type="pct"/>
          </w:tcPr>
          <w:p w:rsidRPr="00D03AEC" w:rsidR="00D03AEC" w:rsidP="00BE1F8F" w:rsidRDefault="00D03AEC" w14:paraId="522139B8" w14:textId="781982F3">
            <w:pPr>
              <w:overflowPunct w:val="0"/>
              <w:autoSpaceDE w:val="0"/>
              <w:autoSpaceDN w:val="0"/>
              <w:adjustRightInd w:val="0"/>
              <w:textAlignment w:val="baseline"/>
              <w:rPr>
                <w:i/>
              </w:rPr>
            </w:pPr>
            <w:r w:rsidRPr="00D03AEC">
              <w:rPr>
                <w:i/>
              </w:rPr>
              <w:t>Marco M</w:t>
            </w:r>
            <w:r w:rsidRPr="00D03AEC" w:rsidR="00860DE0">
              <w:rPr>
                <w:i/>
              </w:rPr>
              <w:t>anfroni</w:t>
            </w:r>
          </w:p>
        </w:tc>
      </w:tr>
      <w:tr w:rsidRPr="00D03AEC" w:rsidR="00D03AEC" w:rsidTr="00713105" w14:paraId="608E1DA4" w14:textId="77777777">
        <w:tc>
          <w:tcPr>
            <w:tcW w:w="895" w:type="pct"/>
          </w:tcPr>
          <w:p w:rsidRPr="00D03AEC" w:rsidR="00D03AEC" w:rsidP="00BE1F8F" w:rsidRDefault="00D03AEC" w14:paraId="03200737" w14:textId="77777777">
            <w:pPr>
              <w:overflowPunct w:val="0"/>
              <w:autoSpaceDE w:val="0"/>
              <w:autoSpaceDN w:val="0"/>
              <w:adjustRightInd w:val="0"/>
              <w:textAlignment w:val="baseline"/>
              <w:rPr>
                <w:i/>
              </w:rPr>
            </w:pPr>
            <w:r w:rsidRPr="00D03AEC">
              <w:rPr>
                <w:i/>
              </w:rPr>
              <w:t>Tel.</w:t>
            </w:r>
          </w:p>
        </w:tc>
        <w:tc>
          <w:tcPr>
            <w:tcW w:w="4105" w:type="pct"/>
          </w:tcPr>
          <w:p w:rsidRPr="00D03AEC" w:rsidR="00D03AEC" w:rsidP="00BE1F8F" w:rsidRDefault="00D03AEC" w14:paraId="7EC18166" w14:textId="03235857">
            <w:pPr>
              <w:overflowPunct w:val="0"/>
              <w:autoSpaceDE w:val="0"/>
              <w:autoSpaceDN w:val="0"/>
              <w:adjustRightInd w:val="0"/>
              <w:textAlignment w:val="baseline"/>
              <w:rPr>
                <w:i/>
              </w:rPr>
            </w:pPr>
            <w:r w:rsidRPr="00D03AEC">
              <w:rPr>
                <w:i/>
              </w:rPr>
              <w:t>+32 25469140</w:t>
            </w:r>
          </w:p>
        </w:tc>
      </w:tr>
      <w:tr w:rsidRPr="00D03AEC" w:rsidR="00D03AEC" w:rsidTr="00713105" w14:paraId="18ACE9E6" w14:textId="77777777">
        <w:tc>
          <w:tcPr>
            <w:tcW w:w="895" w:type="pct"/>
          </w:tcPr>
          <w:p w:rsidRPr="00D03AEC" w:rsidR="00D03AEC" w:rsidP="00BE1F8F" w:rsidRDefault="00D03AEC" w14:paraId="47140999" w14:textId="77777777">
            <w:pPr>
              <w:overflowPunct w:val="0"/>
              <w:autoSpaceDE w:val="0"/>
              <w:autoSpaceDN w:val="0"/>
              <w:adjustRightInd w:val="0"/>
              <w:textAlignment w:val="baseline"/>
              <w:rPr>
                <w:i/>
              </w:rPr>
            </w:pPr>
            <w:r w:rsidRPr="00D03AEC">
              <w:rPr>
                <w:i/>
              </w:rPr>
              <w:t>Email</w:t>
            </w:r>
          </w:p>
        </w:tc>
        <w:tc>
          <w:tcPr>
            <w:tcW w:w="4105" w:type="pct"/>
          </w:tcPr>
          <w:p w:rsidRPr="00D03AEC" w:rsidR="00D03AEC" w:rsidP="00BE1F8F" w:rsidRDefault="002C4029" w14:paraId="66C1176F" w14:textId="6F5AA9D0">
            <w:pPr>
              <w:overflowPunct w:val="0"/>
              <w:autoSpaceDE w:val="0"/>
              <w:autoSpaceDN w:val="0"/>
              <w:adjustRightInd w:val="0"/>
              <w:textAlignment w:val="baseline"/>
              <w:rPr>
                <w:i/>
                <w:iCs/>
                <w:lang w:val="en-GB"/>
              </w:rPr>
            </w:pPr>
            <w:hyperlink w:history="1" r:id="rId46">
              <w:r w:rsidRPr="00D03AEC" w:rsidR="00D03AEC">
                <w:rPr>
                  <w:i/>
                  <w:iCs/>
                  <w:color w:val="0000FF"/>
                  <w:u w:val="single"/>
                  <w:lang w:val="en-GB"/>
                </w:rPr>
                <w:t>Marco.Manfroni@eesc.europa.eu</w:t>
              </w:r>
            </w:hyperlink>
          </w:p>
        </w:tc>
      </w:tr>
    </w:tbl>
    <w:p w:rsidR="00D03AEC" w:rsidP="00BE1F8F" w:rsidRDefault="00D03AEC" w14:paraId="20B99FD5" w14:textId="77777777">
      <w:pPr>
        <w:jc w:val="left"/>
        <w:rPr>
          <w:lang w:val="en-GB"/>
        </w:rPr>
      </w:pPr>
      <w:r>
        <w:rPr>
          <w:lang w:val="en-GB"/>
        </w:rPr>
        <w:br w:type="page"/>
      </w:r>
    </w:p>
    <w:p w:rsidRPr="008413EF" w:rsidR="008413EF" w:rsidP="00BE1F8F" w:rsidRDefault="002C4029" w14:paraId="70DDD8A1" w14:textId="1D4BB03C">
      <w:pPr>
        <w:widowControl w:val="0"/>
        <w:numPr>
          <w:ilvl w:val="0"/>
          <w:numId w:val="2"/>
        </w:numPr>
        <w:overflowPunct w:val="0"/>
        <w:autoSpaceDE w:val="0"/>
        <w:autoSpaceDN w:val="0"/>
        <w:adjustRightInd w:val="0"/>
        <w:ind w:hanging="567"/>
        <w:textAlignment w:val="baseline"/>
        <w:rPr>
          <w:b/>
          <w:lang w:val="en-GB"/>
        </w:rPr>
      </w:pPr>
      <w:hyperlink w:tgtFrame="_blank" w:history="1" r:id="rId47">
        <w:r w:rsidRPr="008413EF" w:rsidR="008413EF">
          <w:rPr>
            <w:b/>
            <w:bCs/>
            <w:i/>
            <w:iCs/>
            <w:color w:val="0000FF"/>
            <w:sz w:val="28"/>
            <w:szCs w:val="28"/>
            <w:u w:val="single"/>
            <w:lang w:val="en-GB"/>
          </w:rPr>
          <w:t>The services sector in the European Union</w:t>
        </w:r>
      </w:hyperlink>
    </w:p>
    <w:p w:rsidRPr="008413EF" w:rsidR="008413EF" w:rsidP="00713105" w:rsidRDefault="008413EF" w14:paraId="09CC9878" w14:textId="77777777">
      <w:pPr>
        <w:widowControl w:val="0"/>
        <w:overflowPunct w:val="0"/>
        <w:autoSpaceDE w:val="0"/>
        <w:autoSpaceDN w:val="0"/>
        <w:adjustRightInd w:val="0"/>
        <w:textAlignment w:val="baseline"/>
        <w:rPr>
          <w:b/>
          <w:lang w:val="en-GB"/>
        </w:rPr>
      </w:pPr>
    </w:p>
    <w:tbl>
      <w:tblPr>
        <w:tblW w:w="0" w:type="auto"/>
        <w:tblLook w:val="04A0" w:firstRow="1" w:lastRow="0" w:firstColumn="1" w:lastColumn="0" w:noHBand="0" w:noVBand="1"/>
      </w:tblPr>
      <w:tblGrid>
        <w:gridCol w:w="1701"/>
        <w:gridCol w:w="7479"/>
      </w:tblGrid>
      <w:tr w:rsidRPr="008413EF" w:rsidR="008413EF" w:rsidTr="00713105" w14:paraId="7A748E72" w14:textId="77777777">
        <w:tc>
          <w:tcPr>
            <w:tcW w:w="1701" w:type="dxa"/>
          </w:tcPr>
          <w:p w:rsidRPr="008413EF" w:rsidR="008413EF" w:rsidP="00BE1F8F" w:rsidRDefault="008413EF" w14:paraId="0901F05D" w14:textId="77777777">
            <w:pPr>
              <w:tabs>
                <w:tab w:val="center" w:pos="284"/>
              </w:tabs>
              <w:overflowPunct w:val="0"/>
              <w:autoSpaceDE w:val="0"/>
              <w:autoSpaceDN w:val="0"/>
              <w:adjustRightInd w:val="0"/>
              <w:ind w:left="266" w:hanging="266"/>
              <w:textAlignment w:val="baseline"/>
              <w:rPr>
                <w:b/>
              </w:rPr>
            </w:pPr>
            <w:r w:rsidRPr="008413EF">
              <w:rPr>
                <w:b/>
              </w:rPr>
              <w:t>Rapporteur</w:t>
            </w:r>
          </w:p>
        </w:tc>
        <w:tc>
          <w:tcPr>
            <w:tcW w:w="7479" w:type="dxa"/>
          </w:tcPr>
          <w:p w:rsidRPr="008413EF" w:rsidR="008413EF" w:rsidP="00BE1F8F" w:rsidRDefault="008413EF" w14:paraId="2A6EDF2D" w14:textId="7BB4AB03">
            <w:pPr>
              <w:tabs>
                <w:tab w:val="center" w:pos="284"/>
              </w:tabs>
              <w:overflowPunct w:val="0"/>
              <w:autoSpaceDE w:val="0"/>
              <w:autoSpaceDN w:val="0"/>
              <w:adjustRightInd w:val="0"/>
              <w:ind w:left="266" w:hanging="266"/>
              <w:textAlignment w:val="baseline"/>
            </w:pPr>
            <w:r w:rsidRPr="008413EF">
              <w:t xml:space="preserve">Marcin NOWACKI (Employers' Group </w:t>
            </w:r>
            <w:r w:rsidR="00AD28C9">
              <w:t>-</w:t>
            </w:r>
            <w:r w:rsidRPr="008413EF">
              <w:t xml:space="preserve"> PL)</w:t>
            </w:r>
          </w:p>
        </w:tc>
      </w:tr>
      <w:tr w:rsidRPr="008413EF" w:rsidR="008413EF" w:rsidTr="00713105" w14:paraId="6A5323D9" w14:textId="77777777">
        <w:tc>
          <w:tcPr>
            <w:tcW w:w="1701" w:type="dxa"/>
            <w:vMerge w:val="restart"/>
          </w:tcPr>
          <w:p w:rsidRPr="008413EF" w:rsidR="008413EF" w:rsidP="00BE1F8F" w:rsidRDefault="008413EF" w14:paraId="037595AE" w14:textId="7E00B36E">
            <w:pPr>
              <w:tabs>
                <w:tab w:val="center" w:pos="284"/>
              </w:tabs>
              <w:overflowPunct w:val="0"/>
              <w:autoSpaceDE w:val="0"/>
              <w:autoSpaceDN w:val="0"/>
              <w:adjustRightInd w:val="0"/>
              <w:ind w:left="266" w:hanging="266"/>
              <w:textAlignment w:val="baseline"/>
              <w:rPr>
                <w:b/>
              </w:rPr>
            </w:pPr>
            <w:r w:rsidRPr="008413EF">
              <w:rPr>
                <w:b/>
              </w:rPr>
              <w:t>Reference</w:t>
            </w:r>
          </w:p>
        </w:tc>
        <w:tc>
          <w:tcPr>
            <w:tcW w:w="7479" w:type="dxa"/>
          </w:tcPr>
          <w:p w:rsidRPr="008413EF" w:rsidR="008413EF" w:rsidP="00713105" w:rsidRDefault="008413EF" w14:paraId="50FBE37D" w14:textId="5D117B4A">
            <w:pPr>
              <w:overflowPunct w:val="0"/>
              <w:autoSpaceDE w:val="0"/>
              <w:autoSpaceDN w:val="0"/>
              <w:adjustRightInd w:val="0"/>
              <w:textAlignment w:val="baseline"/>
            </w:pPr>
            <w:r w:rsidRPr="008413EF">
              <w:t xml:space="preserve">Exploratory opinion </w:t>
            </w:r>
            <w:r w:rsidRPr="00E624FB" w:rsidR="00E624FB">
              <w:t>requested by the Polish Presidency of the Council of the EU</w:t>
            </w:r>
          </w:p>
        </w:tc>
      </w:tr>
      <w:tr w:rsidRPr="008413EF" w:rsidR="008413EF" w:rsidTr="00713105" w14:paraId="730528B8" w14:textId="77777777">
        <w:tc>
          <w:tcPr>
            <w:tcW w:w="1701" w:type="dxa"/>
            <w:vMerge/>
          </w:tcPr>
          <w:p w:rsidRPr="008413EF" w:rsidR="008413EF" w:rsidP="00BE1F8F" w:rsidRDefault="008413EF" w14:paraId="12933C30" w14:textId="77777777">
            <w:pPr>
              <w:tabs>
                <w:tab w:val="center" w:pos="284"/>
              </w:tabs>
              <w:overflowPunct w:val="0"/>
              <w:autoSpaceDE w:val="0"/>
              <w:autoSpaceDN w:val="0"/>
              <w:adjustRightInd w:val="0"/>
              <w:ind w:left="266" w:hanging="266"/>
              <w:textAlignment w:val="baseline"/>
              <w:rPr>
                <w:b/>
              </w:rPr>
            </w:pPr>
          </w:p>
        </w:tc>
        <w:tc>
          <w:tcPr>
            <w:tcW w:w="7479" w:type="dxa"/>
          </w:tcPr>
          <w:p w:rsidRPr="008413EF" w:rsidR="008413EF" w:rsidP="00BE1F8F" w:rsidRDefault="008413EF" w14:paraId="3578B6AF" w14:textId="02B3A0A0">
            <w:pPr>
              <w:tabs>
                <w:tab w:val="center" w:pos="284"/>
              </w:tabs>
              <w:overflowPunct w:val="0"/>
              <w:autoSpaceDE w:val="0"/>
              <w:autoSpaceDN w:val="0"/>
              <w:adjustRightInd w:val="0"/>
              <w:ind w:left="266" w:hanging="266"/>
              <w:textAlignment w:val="baseline"/>
            </w:pPr>
            <w:r w:rsidRPr="008413EF">
              <w:t>EESC-2024-03619-00-00-AC</w:t>
            </w:r>
          </w:p>
        </w:tc>
      </w:tr>
    </w:tbl>
    <w:p w:rsidRPr="008413EF" w:rsidR="008413EF" w:rsidP="00BE1F8F" w:rsidRDefault="008413EF" w14:paraId="27F8102F" w14:textId="77777777">
      <w:pPr>
        <w:tabs>
          <w:tab w:val="center" w:pos="284"/>
        </w:tabs>
        <w:overflowPunct w:val="0"/>
        <w:autoSpaceDE w:val="0"/>
        <w:autoSpaceDN w:val="0"/>
        <w:adjustRightInd w:val="0"/>
        <w:ind w:left="266" w:hanging="266"/>
        <w:textAlignment w:val="baseline"/>
        <w:rPr>
          <w:sz w:val="20"/>
          <w:szCs w:val="20"/>
          <w:lang w:val="en-GB"/>
        </w:rPr>
      </w:pPr>
    </w:p>
    <w:p w:rsidRPr="008413EF" w:rsidR="008413EF" w:rsidP="00BE1F8F" w:rsidRDefault="008413EF" w14:paraId="72919FEE" w14:textId="77777777">
      <w:pPr>
        <w:keepNext/>
        <w:keepLines/>
        <w:tabs>
          <w:tab w:val="center" w:pos="284"/>
        </w:tabs>
        <w:overflowPunct w:val="0"/>
        <w:autoSpaceDE w:val="0"/>
        <w:autoSpaceDN w:val="0"/>
        <w:adjustRightInd w:val="0"/>
        <w:ind w:left="266" w:hanging="266"/>
        <w:textAlignment w:val="baseline"/>
        <w:rPr>
          <w:b/>
          <w:lang w:val="en-GB"/>
        </w:rPr>
      </w:pPr>
      <w:r w:rsidRPr="008413EF">
        <w:rPr>
          <w:b/>
          <w:lang w:val="en-GB"/>
        </w:rPr>
        <w:t>Key points</w:t>
      </w:r>
    </w:p>
    <w:p w:rsidRPr="008413EF" w:rsidR="008413EF" w:rsidP="00BE1F8F" w:rsidRDefault="008413EF" w14:paraId="57B16AE4" w14:textId="77777777">
      <w:pPr>
        <w:keepNext/>
        <w:keepLines/>
        <w:tabs>
          <w:tab w:val="center" w:pos="284"/>
        </w:tabs>
        <w:overflowPunct w:val="0"/>
        <w:autoSpaceDE w:val="0"/>
        <w:autoSpaceDN w:val="0"/>
        <w:adjustRightInd w:val="0"/>
        <w:ind w:left="266" w:hanging="266"/>
        <w:textAlignment w:val="baseline"/>
        <w:rPr>
          <w:b/>
          <w:lang w:val="en-GB"/>
        </w:rPr>
      </w:pPr>
    </w:p>
    <w:p w:rsidRPr="008413EF" w:rsidR="008413EF" w:rsidP="00BE1F8F" w:rsidRDefault="008413EF" w14:paraId="4C5E895D" w14:textId="77777777">
      <w:pPr>
        <w:overflowPunct w:val="0"/>
        <w:autoSpaceDE w:val="0"/>
        <w:autoSpaceDN w:val="0"/>
        <w:adjustRightInd w:val="0"/>
        <w:textAlignment w:val="baseline"/>
        <w:rPr>
          <w:bCs/>
          <w:iCs/>
          <w:lang w:val="en-GB"/>
        </w:rPr>
      </w:pPr>
      <w:r w:rsidRPr="008413EF">
        <w:rPr>
          <w:bCs/>
          <w:iCs/>
          <w:lang w:val="en-GB"/>
        </w:rPr>
        <w:t>The EESC:</w:t>
      </w:r>
    </w:p>
    <w:p w:rsidRPr="008413EF" w:rsidR="008413EF" w:rsidP="00BE1F8F" w:rsidRDefault="008413EF" w14:paraId="67F46C33" w14:textId="77777777">
      <w:pPr>
        <w:numPr>
          <w:ilvl w:val="0"/>
          <w:numId w:val="32"/>
        </w:numPr>
        <w:overflowPunct w:val="0"/>
        <w:autoSpaceDE w:val="0"/>
        <w:autoSpaceDN w:val="0"/>
        <w:adjustRightInd w:val="0"/>
        <w:ind w:left="284" w:hanging="284"/>
        <w:contextualSpacing/>
        <w:textAlignment w:val="baseline"/>
        <w:rPr>
          <w:bCs/>
          <w:iCs/>
          <w:lang w:val="en-GB" w:eastAsia="zh-CN"/>
        </w:rPr>
      </w:pPr>
      <w:r w:rsidRPr="008413EF">
        <w:rPr>
          <w:bCs/>
          <w:iCs/>
          <w:lang w:val="en-GB" w:eastAsia="zh-CN"/>
        </w:rPr>
        <w:t>highlights the need to harmonise the Services Directive and the Professional Qualifications Directive to address fragmentation in the EU services sector;</w:t>
      </w:r>
    </w:p>
    <w:p w:rsidRPr="008413EF" w:rsidR="008413EF" w:rsidP="00BE1F8F" w:rsidRDefault="008413EF" w14:paraId="232D5697" w14:textId="77777777">
      <w:pPr>
        <w:numPr>
          <w:ilvl w:val="0"/>
          <w:numId w:val="32"/>
        </w:numPr>
        <w:overflowPunct w:val="0"/>
        <w:autoSpaceDE w:val="0"/>
        <w:autoSpaceDN w:val="0"/>
        <w:adjustRightInd w:val="0"/>
        <w:ind w:left="284" w:hanging="284"/>
        <w:contextualSpacing/>
        <w:textAlignment w:val="baseline"/>
        <w:rPr>
          <w:bCs/>
          <w:iCs/>
          <w:lang w:val="en-GB" w:eastAsia="zh-CN"/>
        </w:rPr>
      </w:pPr>
      <w:r w:rsidRPr="008413EF">
        <w:rPr>
          <w:bCs/>
          <w:iCs/>
          <w:lang w:val="en-GB" w:eastAsia="zh-CN"/>
        </w:rPr>
        <w:t>considers that a ‘100 Professions Package’ should be introduced to tackle the most significant regulatory barriers across the Member States;</w:t>
      </w:r>
    </w:p>
    <w:p w:rsidRPr="008413EF" w:rsidR="008413EF" w:rsidP="00BE1F8F" w:rsidRDefault="008413EF" w14:paraId="783B2481" w14:textId="77777777">
      <w:pPr>
        <w:numPr>
          <w:ilvl w:val="0"/>
          <w:numId w:val="32"/>
        </w:numPr>
        <w:overflowPunct w:val="0"/>
        <w:autoSpaceDE w:val="0"/>
        <w:autoSpaceDN w:val="0"/>
        <w:adjustRightInd w:val="0"/>
        <w:ind w:left="284" w:hanging="284"/>
        <w:contextualSpacing/>
        <w:textAlignment w:val="baseline"/>
        <w:rPr>
          <w:bCs/>
          <w:iCs/>
          <w:lang w:val="en-GB" w:eastAsia="zh-CN"/>
        </w:rPr>
      </w:pPr>
      <w:r w:rsidRPr="008413EF">
        <w:rPr>
          <w:bCs/>
          <w:iCs/>
          <w:lang w:val="en-GB" w:eastAsia="zh-CN"/>
        </w:rPr>
        <w:t>considers that digitalisation should play a central role in modernising administrative processes. A single digital declaration portal and the digitisation of A1 forms would not only reduce administrative burdens for SMEs but also streamline cross-border services, ensuring faster, more accessible services for businesses and consumers alike;</w:t>
      </w:r>
    </w:p>
    <w:p w:rsidRPr="008413EF" w:rsidR="008413EF" w:rsidP="00BE1F8F" w:rsidRDefault="008413EF" w14:paraId="2AA10EB1" w14:textId="77777777">
      <w:pPr>
        <w:numPr>
          <w:ilvl w:val="0"/>
          <w:numId w:val="32"/>
        </w:numPr>
        <w:overflowPunct w:val="0"/>
        <w:autoSpaceDE w:val="0"/>
        <w:autoSpaceDN w:val="0"/>
        <w:adjustRightInd w:val="0"/>
        <w:ind w:left="284" w:hanging="284"/>
        <w:contextualSpacing/>
        <w:textAlignment w:val="baseline"/>
        <w:rPr>
          <w:bCs/>
          <w:iCs/>
          <w:lang w:val="en-GB" w:eastAsia="zh-CN"/>
        </w:rPr>
      </w:pPr>
      <w:r w:rsidRPr="008413EF">
        <w:rPr>
          <w:bCs/>
          <w:iCs/>
          <w:lang w:val="en-GB" w:eastAsia="zh-CN"/>
        </w:rPr>
        <w:t>considers that targeted, sector-specific reforms are necessary to address barriers in industries such as construction, retail and financial services;</w:t>
      </w:r>
    </w:p>
    <w:p w:rsidRPr="008413EF" w:rsidR="008413EF" w:rsidP="00BE1F8F" w:rsidRDefault="008413EF" w14:paraId="1EFD5C32" w14:textId="77777777">
      <w:pPr>
        <w:numPr>
          <w:ilvl w:val="0"/>
          <w:numId w:val="32"/>
        </w:numPr>
        <w:overflowPunct w:val="0"/>
        <w:autoSpaceDE w:val="0"/>
        <w:autoSpaceDN w:val="0"/>
        <w:adjustRightInd w:val="0"/>
        <w:ind w:left="284" w:hanging="284"/>
        <w:contextualSpacing/>
        <w:textAlignment w:val="baseline"/>
        <w:rPr>
          <w:bCs/>
          <w:iCs/>
          <w:lang w:val="en-GB" w:eastAsia="zh-CN"/>
        </w:rPr>
      </w:pPr>
      <w:r w:rsidRPr="008413EF">
        <w:rPr>
          <w:bCs/>
          <w:iCs/>
          <w:lang w:val="en-GB" w:eastAsia="zh-CN"/>
        </w:rPr>
        <w:t>underlines that labour protection, collective bargaining and collective agreements must not be seen as undue burdens;</w:t>
      </w:r>
    </w:p>
    <w:p w:rsidRPr="008413EF" w:rsidR="008413EF" w:rsidP="00BE1F8F" w:rsidRDefault="008413EF" w14:paraId="7AEFFC54" w14:textId="77777777">
      <w:pPr>
        <w:numPr>
          <w:ilvl w:val="0"/>
          <w:numId w:val="32"/>
        </w:numPr>
        <w:overflowPunct w:val="0"/>
        <w:autoSpaceDE w:val="0"/>
        <w:autoSpaceDN w:val="0"/>
        <w:adjustRightInd w:val="0"/>
        <w:ind w:left="284" w:hanging="284"/>
        <w:contextualSpacing/>
        <w:textAlignment w:val="baseline"/>
        <w:rPr>
          <w:bCs/>
          <w:iCs/>
          <w:lang w:val="en-GB" w:eastAsia="zh-CN"/>
        </w:rPr>
      </w:pPr>
      <w:r w:rsidRPr="008413EF">
        <w:rPr>
          <w:bCs/>
          <w:iCs/>
          <w:lang w:val="en-GB" w:eastAsia="zh-CN"/>
        </w:rPr>
        <w:t>stresses the need for data collection on the services sector, particularly in relation to SMEs, to support policy-making and remove single market barriers;</w:t>
      </w:r>
    </w:p>
    <w:p w:rsidRPr="008413EF" w:rsidR="008413EF" w:rsidP="00BE1F8F" w:rsidRDefault="008413EF" w14:paraId="74735E25" w14:textId="77777777">
      <w:pPr>
        <w:numPr>
          <w:ilvl w:val="0"/>
          <w:numId w:val="32"/>
        </w:numPr>
        <w:overflowPunct w:val="0"/>
        <w:autoSpaceDE w:val="0"/>
        <w:autoSpaceDN w:val="0"/>
        <w:adjustRightInd w:val="0"/>
        <w:ind w:left="284" w:hanging="284"/>
        <w:contextualSpacing/>
        <w:textAlignment w:val="baseline"/>
        <w:rPr>
          <w:bCs/>
          <w:iCs/>
          <w:lang w:val="en-GB" w:eastAsia="zh-CN"/>
        </w:rPr>
      </w:pPr>
      <w:r w:rsidRPr="008413EF">
        <w:rPr>
          <w:bCs/>
          <w:iCs/>
          <w:lang w:val="en-GB" w:eastAsia="zh-CN"/>
        </w:rPr>
        <w:t xml:space="preserve">considers that a comprehensive sector-specific action plan for the integration of the services market should be included in the updated Single Market Strategy. </w:t>
      </w:r>
    </w:p>
    <w:p w:rsidRPr="008413EF" w:rsidR="008413EF" w:rsidP="00BE1F8F" w:rsidRDefault="008413EF" w14:paraId="08EF99E5" w14:textId="77777777">
      <w:pPr>
        <w:overflowPunct w:val="0"/>
        <w:autoSpaceDE w:val="0"/>
        <w:autoSpaceDN w:val="0"/>
        <w:adjustRightInd w:val="0"/>
        <w:textAlignment w:val="baseline"/>
        <w:rPr>
          <w:bCs/>
          <w:iCs/>
          <w:lang w:val="en-GB"/>
        </w:rPr>
      </w:pPr>
    </w:p>
    <w:tbl>
      <w:tblPr>
        <w:tblW w:w="0" w:type="auto"/>
        <w:tblLook w:val="04A0" w:firstRow="1" w:lastRow="0" w:firstColumn="1" w:lastColumn="0" w:noHBand="0" w:noVBand="1"/>
      </w:tblPr>
      <w:tblGrid>
        <w:gridCol w:w="1668"/>
        <w:gridCol w:w="7512"/>
      </w:tblGrid>
      <w:tr w:rsidRPr="008413EF" w:rsidR="008413EF" w:rsidTr="00713105" w14:paraId="33B11F7A" w14:textId="77777777">
        <w:tc>
          <w:tcPr>
            <w:tcW w:w="1668" w:type="dxa"/>
          </w:tcPr>
          <w:p w:rsidRPr="00713105" w:rsidR="008413EF" w:rsidP="00BE1F8F" w:rsidRDefault="008413EF" w14:paraId="6AEFA1C2" w14:textId="77777777">
            <w:pPr>
              <w:overflowPunct w:val="0"/>
              <w:autoSpaceDE w:val="0"/>
              <w:autoSpaceDN w:val="0"/>
              <w:adjustRightInd w:val="0"/>
              <w:textAlignment w:val="baseline"/>
              <w:rPr>
                <w:i/>
              </w:rPr>
            </w:pPr>
            <w:r w:rsidRPr="00713105">
              <w:rPr>
                <w:b/>
                <w:i/>
              </w:rPr>
              <w:t>Contact</w:t>
            </w:r>
          </w:p>
        </w:tc>
        <w:tc>
          <w:tcPr>
            <w:tcW w:w="7512" w:type="dxa"/>
          </w:tcPr>
          <w:p w:rsidRPr="00713105" w:rsidR="008413EF" w:rsidP="00BE1F8F" w:rsidRDefault="008413EF" w14:paraId="061D78D4" w14:textId="77777777">
            <w:pPr>
              <w:overflowPunct w:val="0"/>
              <w:autoSpaceDE w:val="0"/>
              <w:autoSpaceDN w:val="0"/>
              <w:adjustRightInd w:val="0"/>
              <w:textAlignment w:val="baseline"/>
              <w:rPr>
                <w:i/>
              </w:rPr>
            </w:pPr>
            <w:r w:rsidRPr="00713105">
              <w:rPr>
                <w:i/>
              </w:rPr>
              <w:t>Annalisa Tessarolo</w:t>
            </w:r>
          </w:p>
        </w:tc>
      </w:tr>
      <w:tr w:rsidRPr="008413EF" w:rsidR="008413EF" w:rsidTr="00713105" w14:paraId="40FDA69D" w14:textId="77777777">
        <w:tc>
          <w:tcPr>
            <w:tcW w:w="1668" w:type="dxa"/>
          </w:tcPr>
          <w:p w:rsidRPr="00713105" w:rsidR="008413EF" w:rsidP="00BE1F8F" w:rsidRDefault="008413EF" w14:paraId="2D116995" w14:textId="77777777">
            <w:pPr>
              <w:overflowPunct w:val="0"/>
              <w:autoSpaceDE w:val="0"/>
              <w:autoSpaceDN w:val="0"/>
              <w:adjustRightInd w:val="0"/>
              <w:textAlignment w:val="baseline"/>
              <w:rPr>
                <w:i/>
              </w:rPr>
            </w:pPr>
            <w:r w:rsidRPr="00713105">
              <w:rPr>
                <w:i/>
              </w:rPr>
              <w:t>Tel.</w:t>
            </w:r>
          </w:p>
        </w:tc>
        <w:tc>
          <w:tcPr>
            <w:tcW w:w="7512" w:type="dxa"/>
          </w:tcPr>
          <w:p w:rsidRPr="00713105" w:rsidR="008413EF" w:rsidP="00BE1F8F" w:rsidRDefault="008413EF" w14:paraId="100C3FF0" w14:textId="4D96929A">
            <w:pPr>
              <w:overflowPunct w:val="0"/>
              <w:autoSpaceDE w:val="0"/>
              <w:autoSpaceDN w:val="0"/>
              <w:adjustRightInd w:val="0"/>
              <w:textAlignment w:val="baseline"/>
              <w:rPr>
                <w:i/>
              </w:rPr>
            </w:pPr>
            <w:r w:rsidRPr="00713105">
              <w:rPr>
                <w:i/>
              </w:rPr>
              <w:t>+32 2 54697432</w:t>
            </w:r>
          </w:p>
        </w:tc>
      </w:tr>
      <w:tr w:rsidRPr="008413EF" w:rsidR="008413EF" w:rsidTr="00713105" w14:paraId="37302371" w14:textId="77777777">
        <w:tc>
          <w:tcPr>
            <w:tcW w:w="1668" w:type="dxa"/>
          </w:tcPr>
          <w:p w:rsidRPr="00713105" w:rsidR="008413EF" w:rsidP="00BE1F8F" w:rsidRDefault="00AD28C9" w14:paraId="5DEDB95D" w14:textId="4025CC54">
            <w:pPr>
              <w:overflowPunct w:val="0"/>
              <w:autoSpaceDE w:val="0"/>
              <w:autoSpaceDN w:val="0"/>
              <w:adjustRightInd w:val="0"/>
              <w:textAlignment w:val="baseline"/>
              <w:rPr>
                <w:i/>
              </w:rPr>
            </w:pPr>
            <w:r w:rsidRPr="00713105">
              <w:rPr>
                <w:i/>
              </w:rPr>
              <w:t>E</w:t>
            </w:r>
            <w:r w:rsidRPr="00713105" w:rsidR="008413EF">
              <w:rPr>
                <w:i/>
              </w:rPr>
              <w:t>mail</w:t>
            </w:r>
          </w:p>
        </w:tc>
        <w:tc>
          <w:tcPr>
            <w:tcW w:w="7512" w:type="dxa"/>
          </w:tcPr>
          <w:p w:rsidRPr="00713105" w:rsidR="008413EF" w:rsidP="00BE1F8F" w:rsidRDefault="002C4029" w14:paraId="03ED06F2" w14:textId="4676909C">
            <w:pPr>
              <w:overflowPunct w:val="0"/>
              <w:autoSpaceDE w:val="0"/>
              <w:autoSpaceDN w:val="0"/>
              <w:adjustRightInd w:val="0"/>
              <w:textAlignment w:val="baseline"/>
              <w:rPr>
                <w:i/>
              </w:rPr>
            </w:pPr>
            <w:hyperlink w:history="1" r:id="rId48">
              <w:r w:rsidRPr="00713105" w:rsidR="00E14D8E">
                <w:rPr>
                  <w:rStyle w:val="Hyperlink"/>
                  <w:i/>
                </w:rPr>
                <w:t>Annalisa.Tessarolo@eesc.europa.eu</w:t>
              </w:r>
            </w:hyperlink>
          </w:p>
        </w:tc>
      </w:tr>
    </w:tbl>
    <w:p w:rsidR="008413EF" w:rsidP="00BE1F8F" w:rsidRDefault="008413EF" w14:paraId="617BC9EE" w14:textId="77777777">
      <w:pPr>
        <w:jc w:val="left"/>
        <w:rPr>
          <w:lang w:val="en-GB"/>
        </w:rPr>
      </w:pPr>
    </w:p>
    <w:p w:rsidR="008413EF" w:rsidP="00BE1F8F" w:rsidRDefault="008413EF" w14:paraId="191624E6" w14:textId="77777777">
      <w:pPr>
        <w:jc w:val="left"/>
        <w:rPr>
          <w:lang w:val="en-GB"/>
        </w:rPr>
      </w:pPr>
      <w:r>
        <w:rPr>
          <w:lang w:val="en-GB"/>
        </w:rPr>
        <w:br w:type="page"/>
      </w:r>
    </w:p>
    <w:p w:rsidRPr="00713105" w:rsidR="001C0AB9" w:rsidP="00BE1F8F" w:rsidRDefault="002C4029" w14:paraId="42F00AC9" w14:textId="3186BBA7">
      <w:pPr>
        <w:widowControl w:val="0"/>
        <w:numPr>
          <w:ilvl w:val="0"/>
          <w:numId w:val="2"/>
        </w:numPr>
        <w:overflowPunct w:val="0"/>
        <w:autoSpaceDE w:val="0"/>
        <w:autoSpaceDN w:val="0"/>
        <w:adjustRightInd w:val="0"/>
        <w:ind w:left="284" w:hanging="284"/>
        <w:textAlignment w:val="baseline"/>
      </w:pPr>
      <w:hyperlink w:tgtFrame="_blank" w:history="1" r:id="rId49">
        <w:r w:rsidRPr="001C0AB9" w:rsidR="001C0AB9">
          <w:rPr>
            <w:b/>
            <w:bCs/>
            <w:i/>
            <w:iCs/>
            <w:color w:val="0000FF"/>
            <w:sz w:val="28"/>
            <w:szCs w:val="28"/>
            <w:u w:val="single"/>
            <w:lang w:val="en-GB"/>
          </w:rPr>
          <w:t>The future of EU industry in the face of high energy prices and transition costs</w:t>
        </w:r>
      </w:hyperlink>
    </w:p>
    <w:p w:rsidRPr="001C0AB9" w:rsidR="001C0AB9" w:rsidP="00BE1F8F" w:rsidRDefault="001C0AB9" w14:paraId="0DDA99F6" w14:textId="77777777">
      <w:pPr>
        <w:widowControl w:val="0"/>
        <w:overflowPunct w:val="0"/>
        <w:autoSpaceDE w:val="0"/>
        <w:autoSpaceDN w:val="0"/>
        <w:adjustRightInd w:val="0"/>
        <w:ind w:left="284"/>
        <w:textAlignment w:val="baseline"/>
        <w:rPr>
          <w:b/>
          <w:lang w:val="en-GB"/>
        </w:rPr>
      </w:pPr>
    </w:p>
    <w:tbl>
      <w:tblPr>
        <w:tblW w:w="4942" w:type="pct"/>
        <w:tblLook w:val="04A0" w:firstRow="1" w:lastRow="0" w:firstColumn="1" w:lastColumn="0" w:noHBand="0" w:noVBand="1"/>
      </w:tblPr>
      <w:tblGrid>
        <w:gridCol w:w="1667"/>
        <w:gridCol w:w="7512"/>
      </w:tblGrid>
      <w:tr w:rsidRPr="001C0AB9" w:rsidR="001C0AB9" w:rsidTr="00713105" w14:paraId="302E5F77" w14:textId="77777777">
        <w:tc>
          <w:tcPr>
            <w:tcW w:w="908" w:type="pct"/>
          </w:tcPr>
          <w:p w:rsidRPr="001C0AB9" w:rsidR="001C0AB9" w:rsidP="00BE1F8F" w:rsidRDefault="001C0AB9" w14:paraId="16513D26" w14:textId="77777777">
            <w:pPr>
              <w:tabs>
                <w:tab w:val="center" w:pos="284"/>
              </w:tabs>
              <w:overflowPunct w:val="0"/>
              <w:autoSpaceDE w:val="0"/>
              <w:autoSpaceDN w:val="0"/>
              <w:adjustRightInd w:val="0"/>
              <w:ind w:left="266" w:hanging="266"/>
              <w:textAlignment w:val="baseline"/>
              <w:rPr>
                <w:b/>
              </w:rPr>
            </w:pPr>
            <w:r w:rsidRPr="001C0AB9">
              <w:rPr>
                <w:b/>
              </w:rPr>
              <w:t>Rapporteur</w:t>
            </w:r>
          </w:p>
        </w:tc>
        <w:tc>
          <w:tcPr>
            <w:tcW w:w="4092" w:type="pct"/>
          </w:tcPr>
          <w:p w:rsidRPr="001C0AB9" w:rsidR="001C0AB9" w:rsidP="00BE1F8F" w:rsidRDefault="001C0AB9" w14:paraId="45A398EC" w14:textId="18D9B476">
            <w:pPr>
              <w:tabs>
                <w:tab w:val="center" w:pos="284"/>
              </w:tabs>
              <w:overflowPunct w:val="0"/>
              <w:autoSpaceDE w:val="0"/>
              <w:autoSpaceDN w:val="0"/>
              <w:adjustRightInd w:val="0"/>
              <w:ind w:left="266" w:hanging="266"/>
              <w:textAlignment w:val="baseline"/>
            </w:pPr>
            <w:r w:rsidRPr="001C0AB9">
              <w:t>Andrea MONE (Workers</w:t>
            </w:r>
            <w:r w:rsidR="00402449">
              <w:t>' Group</w:t>
            </w:r>
            <w:r w:rsidRPr="001C0AB9">
              <w:t xml:space="preserve"> </w:t>
            </w:r>
            <w:r w:rsidR="00402449">
              <w:t xml:space="preserve">- </w:t>
            </w:r>
            <w:r w:rsidRPr="001C0AB9">
              <w:t>IT)</w:t>
            </w:r>
          </w:p>
        </w:tc>
      </w:tr>
      <w:tr w:rsidRPr="001C0AB9" w:rsidR="001C0AB9" w:rsidTr="00713105" w14:paraId="49E0B6DD" w14:textId="77777777">
        <w:tc>
          <w:tcPr>
            <w:tcW w:w="908" w:type="pct"/>
            <w:vMerge w:val="restart"/>
          </w:tcPr>
          <w:p w:rsidRPr="001C0AB9" w:rsidR="001C0AB9" w:rsidP="00BE1F8F" w:rsidRDefault="001C0AB9" w14:paraId="2351E607" w14:textId="2483074C">
            <w:pPr>
              <w:tabs>
                <w:tab w:val="center" w:pos="284"/>
              </w:tabs>
              <w:overflowPunct w:val="0"/>
              <w:autoSpaceDE w:val="0"/>
              <w:autoSpaceDN w:val="0"/>
              <w:adjustRightInd w:val="0"/>
              <w:ind w:left="266" w:hanging="266"/>
              <w:textAlignment w:val="baseline"/>
              <w:rPr>
                <w:b/>
              </w:rPr>
            </w:pPr>
            <w:r w:rsidRPr="001C0AB9">
              <w:rPr>
                <w:b/>
              </w:rPr>
              <w:t>Reference</w:t>
            </w:r>
          </w:p>
        </w:tc>
        <w:tc>
          <w:tcPr>
            <w:tcW w:w="4092" w:type="pct"/>
          </w:tcPr>
          <w:p w:rsidRPr="00C43D3E" w:rsidR="001C0AB9" w:rsidP="00713105" w:rsidRDefault="001C0AB9" w14:paraId="17F26A32" w14:textId="51BBB0EC">
            <w:pPr>
              <w:tabs>
                <w:tab w:val="center" w:pos="284"/>
              </w:tabs>
              <w:overflowPunct w:val="0"/>
              <w:autoSpaceDE w:val="0"/>
              <w:autoSpaceDN w:val="0"/>
              <w:adjustRightInd w:val="0"/>
              <w:ind w:left="266" w:right="-387" w:hanging="266"/>
              <w:textAlignment w:val="baseline"/>
              <w:rPr>
                <w:lang w:val="en-GB"/>
              </w:rPr>
            </w:pPr>
            <w:r w:rsidRPr="001C0AB9">
              <w:t>Exploratory opinion</w:t>
            </w:r>
            <w:r w:rsidRPr="009D7E2D" w:rsidR="00402449">
              <w:rPr>
                <w:lang w:val="en-GB"/>
              </w:rPr>
              <w:t xml:space="preserve"> requested by the Polish Presidency</w:t>
            </w:r>
            <w:r w:rsidR="00402449">
              <w:t xml:space="preserve"> </w:t>
            </w:r>
            <w:r w:rsidRPr="00D92715" w:rsidR="00402449">
              <w:rPr>
                <w:lang w:val="en-GB"/>
              </w:rPr>
              <w:t>of the Council of the EU</w:t>
            </w:r>
          </w:p>
        </w:tc>
      </w:tr>
      <w:tr w:rsidRPr="001C0AB9" w:rsidR="001C0AB9" w:rsidTr="00713105" w14:paraId="21E65686" w14:textId="77777777">
        <w:tc>
          <w:tcPr>
            <w:tcW w:w="908" w:type="pct"/>
            <w:vMerge/>
          </w:tcPr>
          <w:p w:rsidRPr="001C0AB9" w:rsidR="001C0AB9" w:rsidP="00BE1F8F" w:rsidRDefault="001C0AB9" w14:paraId="4CD406B0" w14:textId="77777777">
            <w:pPr>
              <w:tabs>
                <w:tab w:val="center" w:pos="284"/>
              </w:tabs>
              <w:overflowPunct w:val="0"/>
              <w:autoSpaceDE w:val="0"/>
              <w:autoSpaceDN w:val="0"/>
              <w:adjustRightInd w:val="0"/>
              <w:ind w:left="266" w:hanging="266"/>
              <w:textAlignment w:val="baseline"/>
              <w:rPr>
                <w:b/>
              </w:rPr>
            </w:pPr>
          </w:p>
        </w:tc>
        <w:tc>
          <w:tcPr>
            <w:tcW w:w="4092" w:type="pct"/>
          </w:tcPr>
          <w:p w:rsidRPr="001C0AB9" w:rsidR="001C0AB9" w:rsidP="00BE1F8F" w:rsidRDefault="001C0AB9" w14:paraId="7D1175EF" w14:textId="77777777">
            <w:pPr>
              <w:tabs>
                <w:tab w:val="center" w:pos="284"/>
              </w:tabs>
              <w:overflowPunct w:val="0"/>
              <w:autoSpaceDE w:val="0"/>
              <w:autoSpaceDN w:val="0"/>
              <w:adjustRightInd w:val="0"/>
              <w:ind w:left="266" w:hanging="266"/>
              <w:textAlignment w:val="baseline"/>
            </w:pPr>
            <w:r w:rsidRPr="001C0AB9">
              <w:t>EESC-2024-03583-00-00-AC</w:t>
            </w:r>
          </w:p>
        </w:tc>
      </w:tr>
    </w:tbl>
    <w:p w:rsidRPr="001C0AB9" w:rsidR="001C0AB9" w:rsidP="00BE1F8F" w:rsidRDefault="001C0AB9" w14:paraId="1C922088" w14:textId="77777777">
      <w:pPr>
        <w:tabs>
          <w:tab w:val="center" w:pos="284"/>
        </w:tabs>
        <w:overflowPunct w:val="0"/>
        <w:autoSpaceDE w:val="0"/>
        <w:autoSpaceDN w:val="0"/>
        <w:adjustRightInd w:val="0"/>
        <w:ind w:left="266" w:hanging="266"/>
        <w:textAlignment w:val="baseline"/>
        <w:rPr>
          <w:lang w:val="en-GB"/>
        </w:rPr>
      </w:pPr>
    </w:p>
    <w:p w:rsidRPr="001C0AB9" w:rsidR="001C0AB9" w:rsidP="00BE1F8F" w:rsidRDefault="001C0AB9" w14:paraId="2CF6D0AF" w14:textId="77777777">
      <w:pPr>
        <w:keepNext/>
        <w:keepLines/>
        <w:tabs>
          <w:tab w:val="center" w:pos="284"/>
        </w:tabs>
        <w:overflowPunct w:val="0"/>
        <w:autoSpaceDE w:val="0"/>
        <w:autoSpaceDN w:val="0"/>
        <w:adjustRightInd w:val="0"/>
        <w:ind w:left="266" w:hanging="266"/>
        <w:textAlignment w:val="baseline"/>
        <w:rPr>
          <w:b/>
          <w:lang w:val="en-GB"/>
        </w:rPr>
      </w:pPr>
      <w:r w:rsidRPr="001C0AB9">
        <w:rPr>
          <w:b/>
          <w:lang w:val="en-GB"/>
        </w:rPr>
        <w:t>Key points</w:t>
      </w:r>
    </w:p>
    <w:p w:rsidRPr="001C0AB9" w:rsidR="001C0AB9" w:rsidP="00BE1F8F" w:rsidRDefault="001C0AB9" w14:paraId="13B083CC" w14:textId="77777777">
      <w:pPr>
        <w:keepNext/>
        <w:keepLines/>
        <w:tabs>
          <w:tab w:val="center" w:pos="284"/>
        </w:tabs>
        <w:overflowPunct w:val="0"/>
        <w:autoSpaceDE w:val="0"/>
        <w:autoSpaceDN w:val="0"/>
        <w:adjustRightInd w:val="0"/>
        <w:ind w:left="266" w:hanging="266"/>
        <w:textAlignment w:val="baseline"/>
        <w:rPr>
          <w:b/>
          <w:lang w:val="en-GB"/>
        </w:rPr>
      </w:pPr>
    </w:p>
    <w:p w:rsidRPr="001C0AB9" w:rsidR="00402449" w:rsidP="00BE1F8F" w:rsidRDefault="001C0AB9" w14:paraId="7AD5576E" w14:textId="147901FD">
      <w:pPr>
        <w:overflowPunct w:val="0"/>
        <w:autoSpaceDE w:val="0"/>
        <w:autoSpaceDN w:val="0"/>
        <w:adjustRightInd w:val="0"/>
        <w:textAlignment w:val="baseline"/>
        <w:rPr>
          <w:bCs/>
          <w:iCs/>
          <w:lang w:val="en-GB"/>
        </w:rPr>
      </w:pPr>
      <w:r w:rsidRPr="001C0AB9">
        <w:rPr>
          <w:bCs/>
          <w:iCs/>
          <w:lang w:val="en-GB"/>
        </w:rPr>
        <w:t>The EESC:</w:t>
      </w:r>
    </w:p>
    <w:p w:rsidRPr="001C0AB9" w:rsidR="001C0AB9" w:rsidP="00BE1F8F" w:rsidRDefault="001C0AB9" w14:paraId="6A2D8F3D" w14:textId="77777777">
      <w:pPr>
        <w:numPr>
          <w:ilvl w:val="0"/>
          <w:numId w:val="33"/>
        </w:numPr>
        <w:tabs>
          <w:tab w:val="clear" w:pos="720"/>
          <w:tab w:val="num" w:pos="567"/>
        </w:tabs>
        <w:overflowPunct w:val="0"/>
        <w:autoSpaceDE w:val="0"/>
        <w:autoSpaceDN w:val="0"/>
        <w:adjustRightInd w:val="0"/>
        <w:ind w:left="284" w:hanging="284"/>
        <w:textAlignment w:val="baseline"/>
        <w:rPr>
          <w:lang w:val="en-GB" w:eastAsia="fr-BE"/>
        </w:rPr>
      </w:pPr>
      <w:r w:rsidRPr="001C0AB9">
        <w:rPr>
          <w:lang w:val="en-GB" w:eastAsia="fr-BE"/>
        </w:rPr>
        <w:t xml:space="preserve">calls for urgent action to establish a </w:t>
      </w:r>
      <w:r w:rsidRPr="001C0AB9">
        <w:rPr>
          <w:b/>
          <w:bCs/>
          <w:lang w:val="en-GB" w:eastAsia="fr-BE"/>
        </w:rPr>
        <w:t>comprehensive EU industrial strategy</w:t>
      </w:r>
      <w:r w:rsidRPr="001C0AB9">
        <w:rPr>
          <w:lang w:val="en-GB" w:eastAsia="fr-BE"/>
        </w:rPr>
        <w:t xml:space="preserve"> that ensures </w:t>
      </w:r>
      <w:r w:rsidRPr="001C0AB9">
        <w:rPr>
          <w:b/>
          <w:bCs/>
          <w:lang w:val="en-GB" w:eastAsia="fr-BE"/>
        </w:rPr>
        <w:t>competitive industries and quality jobs</w:t>
      </w:r>
      <w:r w:rsidRPr="001C0AB9">
        <w:rPr>
          <w:lang w:val="en-GB" w:eastAsia="fr-BE"/>
        </w:rPr>
        <w:t xml:space="preserve">, aligning with Green Deal objectives through </w:t>
      </w:r>
      <w:r w:rsidRPr="001C0AB9">
        <w:rPr>
          <w:b/>
          <w:bCs/>
          <w:lang w:val="en-GB" w:eastAsia="fr-BE"/>
        </w:rPr>
        <w:t xml:space="preserve">close </w:t>
      </w:r>
      <w:r w:rsidRPr="001C0AB9">
        <w:rPr>
          <w:lang w:val="en-GB" w:eastAsia="fr-BE"/>
        </w:rPr>
        <w:t>monitoring and targeted adjustments;</w:t>
      </w:r>
    </w:p>
    <w:p w:rsidRPr="001C0AB9" w:rsidR="001C0AB9" w:rsidP="00BE1F8F" w:rsidRDefault="001C0AB9" w14:paraId="70DD072D" w14:textId="77777777">
      <w:pPr>
        <w:numPr>
          <w:ilvl w:val="0"/>
          <w:numId w:val="33"/>
        </w:numPr>
        <w:tabs>
          <w:tab w:val="clear" w:pos="720"/>
          <w:tab w:val="num" w:pos="567"/>
        </w:tabs>
        <w:overflowPunct w:val="0"/>
        <w:autoSpaceDE w:val="0"/>
        <w:autoSpaceDN w:val="0"/>
        <w:adjustRightInd w:val="0"/>
        <w:ind w:left="284" w:hanging="284"/>
        <w:textAlignment w:val="baseline"/>
        <w:rPr>
          <w:lang w:val="en-GB" w:eastAsia="fr-BE"/>
        </w:rPr>
      </w:pPr>
      <w:r w:rsidRPr="001C0AB9">
        <w:rPr>
          <w:lang w:val="en-GB" w:eastAsia="fr-BE"/>
        </w:rPr>
        <w:t xml:space="preserve">urges improvements to the </w:t>
      </w:r>
      <w:r w:rsidRPr="001C0AB9">
        <w:rPr>
          <w:b/>
          <w:bCs/>
          <w:lang w:val="en-GB" w:eastAsia="fr-BE"/>
        </w:rPr>
        <w:t>economic and regulatory environment</w:t>
      </w:r>
      <w:r w:rsidRPr="001C0AB9">
        <w:rPr>
          <w:lang w:val="en-GB" w:eastAsia="fr-BE"/>
        </w:rPr>
        <w:t xml:space="preserve"> to address </w:t>
      </w:r>
      <w:r w:rsidRPr="001C0AB9">
        <w:rPr>
          <w:b/>
          <w:bCs/>
          <w:lang w:val="en-GB" w:eastAsia="fr-BE"/>
        </w:rPr>
        <w:t>Europe’s structural competitiveness challenges</w:t>
      </w:r>
      <w:r w:rsidRPr="001C0AB9">
        <w:rPr>
          <w:lang w:val="en-GB" w:eastAsia="fr-BE"/>
        </w:rPr>
        <w:t>, including high energy and raw material costs, upfront investment and compliance burdens of the green transition, inadequate infrastructure, persistent skills shortages, limited financing and internal demand, and an incomplete single market;</w:t>
      </w:r>
    </w:p>
    <w:p w:rsidRPr="001C0AB9" w:rsidR="001C0AB9" w:rsidP="00BE1F8F" w:rsidRDefault="001C0AB9" w14:paraId="6A693864" w14:textId="77777777">
      <w:pPr>
        <w:numPr>
          <w:ilvl w:val="0"/>
          <w:numId w:val="33"/>
        </w:numPr>
        <w:tabs>
          <w:tab w:val="clear" w:pos="720"/>
          <w:tab w:val="num" w:pos="567"/>
        </w:tabs>
        <w:overflowPunct w:val="0"/>
        <w:autoSpaceDE w:val="0"/>
        <w:autoSpaceDN w:val="0"/>
        <w:adjustRightInd w:val="0"/>
        <w:ind w:left="284" w:hanging="284"/>
        <w:textAlignment w:val="baseline"/>
        <w:rPr>
          <w:lang w:val="en-GB" w:eastAsia="fr-BE"/>
        </w:rPr>
      </w:pPr>
      <w:r w:rsidRPr="001C0AB9">
        <w:rPr>
          <w:lang w:val="en-GB" w:eastAsia="fr-BE"/>
        </w:rPr>
        <w:t>advocates for</w:t>
      </w:r>
      <w:r w:rsidRPr="001C0AB9">
        <w:rPr>
          <w:b/>
          <w:bCs/>
          <w:lang w:val="en-GB" w:eastAsia="fr-BE"/>
        </w:rPr>
        <w:t xml:space="preserve"> a competitiveness policy</w:t>
      </w:r>
      <w:r w:rsidRPr="001C0AB9">
        <w:rPr>
          <w:lang w:val="en-GB" w:eastAsia="fr-BE"/>
        </w:rPr>
        <w:t xml:space="preserve"> that prioritizes </w:t>
      </w:r>
      <w:r w:rsidRPr="001C0AB9">
        <w:rPr>
          <w:b/>
          <w:bCs/>
          <w:lang w:val="en-GB" w:eastAsia="fr-BE"/>
        </w:rPr>
        <w:t>investment and innovation</w:t>
      </w:r>
      <w:r w:rsidRPr="001C0AB9">
        <w:rPr>
          <w:lang w:val="en-GB" w:eastAsia="fr-BE"/>
        </w:rPr>
        <w:t xml:space="preserve">, while promoting </w:t>
      </w:r>
      <w:r w:rsidRPr="001C0AB9">
        <w:rPr>
          <w:b/>
          <w:bCs/>
          <w:lang w:val="en-GB" w:eastAsia="fr-BE"/>
        </w:rPr>
        <w:t>social and territorial inclusiveness</w:t>
      </w:r>
      <w:r w:rsidRPr="001C0AB9">
        <w:rPr>
          <w:lang w:val="en-GB" w:eastAsia="fr-BE"/>
        </w:rPr>
        <w:t xml:space="preserve"> and ensuring that </w:t>
      </w:r>
      <w:r w:rsidRPr="001C0AB9">
        <w:rPr>
          <w:b/>
          <w:bCs/>
          <w:lang w:val="en-GB" w:eastAsia="fr-BE"/>
        </w:rPr>
        <w:t>social dialogue and collective bargaining</w:t>
      </w:r>
      <w:r w:rsidRPr="001C0AB9">
        <w:rPr>
          <w:lang w:val="en-GB" w:eastAsia="fr-BE"/>
        </w:rPr>
        <w:t xml:space="preserve"> guide structural changes in a fair and equitable manner;</w:t>
      </w:r>
    </w:p>
    <w:p w:rsidRPr="001C0AB9" w:rsidR="001C0AB9" w:rsidP="00BE1F8F" w:rsidRDefault="001C0AB9" w14:paraId="61A535A9" w14:textId="77777777">
      <w:pPr>
        <w:numPr>
          <w:ilvl w:val="0"/>
          <w:numId w:val="33"/>
        </w:numPr>
        <w:tabs>
          <w:tab w:val="clear" w:pos="720"/>
          <w:tab w:val="num" w:pos="567"/>
        </w:tabs>
        <w:overflowPunct w:val="0"/>
        <w:autoSpaceDE w:val="0"/>
        <w:autoSpaceDN w:val="0"/>
        <w:adjustRightInd w:val="0"/>
        <w:ind w:left="284" w:hanging="284"/>
        <w:textAlignment w:val="baseline"/>
        <w:rPr>
          <w:lang w:val="en-GB" w:eastAsia="fr-BE"/>
        </w:rPr>
      </w:pPr>
      <w:r w:rsidRPr="001C0AB9">
        <w:rPr>
          <w:lang w:val="en-GB" w:eastAsia="fr-BE"/>
        </w:rPr>
        <w:t xml:space="preserve">calls for a </w:t>
      </w:r>
      <w:r w:rsidRPr="001C0AB9">
        <w:rPr>
          <w:b/>
          <w:bCs/>
          <w:lang w:val="en-GB" w:eastAsia="fr-BE"/>
        </w:rPr>
        <w:t>sector-inclusive industrial strategy</w:t>
      </w:r>
      <w:r w:rsidRPr="001C0AB9">
        <w:rPr>
          <w:lang w:val="en-GB" w:eastAsia="fr-BE"/>
        </w:rPr>
        <w:t xml:space="preserve"> that enhances </w:t>
      </w:r>
      <w:r w:rsidRPr="001C0AB9">
        <w:rPr>
          <w:b/>
          <w:bCs/>
          <w:lang w:val="en-GB" w:eastAsia="fr-BE"/>
        </w:rPr>
        <w:t>policy coherence, optimizes resource allocation, establishes a dedicated European investment fund</w:t>
      </w:r>
      <w:r w:rsidRPr="001C0AB9">
        <w:rPr>
          <w:lang w:val="en-GB" w:eastAsia="fr-BE"/>
        </w:rPr>
        <w:t xml:space="preserve"> for strategic priorities, and considers the </w:t>
      </w:r>
      <w:r w:rsidRPr="001C0AB9">
        <w:rPr>
          <w:b/>
          <w:bCs/>
          <w:lang w:val="en-GB" w:eastAsia="fr-BE"/>
        </w:rPr>
        <w:t>transnational dimension</w:t>
      </w:r>
      <w:r w:rsidRPr="001C0AB9">
        <w:rPr>
          <w:lang w:val="en-GB" w:eastAsia="fr-BE"/>
        </w:rPr>
        <w:t xml:space="preserve"> of key areas such as </w:t>
      </w:r>
      <w:r w:rsidRPr="001C0AB9">
        <w:rPr>
          <w:b/>
          <w:bCs/>
          <w:lang w:val="en-GB" w:eastAsia="fr-BE"/>
        </w:rPr>
        <w:t>energy, R&amp;I, and skills</w:t>
      </w:r>
      <w:r w:rsidRPr="001C0AB9">
        <w:rPr>
          <w:lang w:val="en-GB" w:eastAsia="fr-BE"/>
        </w:rPr>
        <w:t>;</w:t>
      </w:r>
    </w:p>
    <w:p w:rsidRPr="001C0AB9" w:rsidR="001C0AB9" w:rsidP="00BE1F8F" w:rsidRDefault="001C0AB9" w14:paraId="1A086C5D" w14:textId="77777777">
      <w:pPr>
        <w:numPr>
          <w:ilvl w:val="0"/>
          <w:numId w:val="33"/>
        </w:numPr>
        <w:tabs>
          <w:tab w:val="clear" w:pos="720"/>
          <w:tab w:val="num" w:pos="567"/>
        </w:tabs>
        <w:overflowPunct w:val="0"/>
        <w:autoSpaceDE w:val="0"/>
        <w:autoSpaceDN w:val="0"/>
        <w:adjustRightInd w:val="0"/>
        <w:ind w:left="284" w:hanging="284"/>
        <w:textAlignment w:val="baseline"/>
        <w:rPr>
          <w:lang w:val="en-GB" w:eastAsia="fr-BE"/>
        </w:rPr>
      </w:pPr>
      <w:r w:rsidRPr="001C0AB9">
        <w:rPr>
          <w:b/>
          <w:bCs/>
          <w:lang w:val="en-GB" w:eastAsia="fr-BE"/>
        </w:rPr>
        <w:t>emphasizes the need for a resilient EU trade policy</w:t>
      </w:r>
      <w:r w:rsidRPr="001C0AB9">
        <w:rPr>
          <w:lang w:val="en-GB" w:eastAsia="fr-BE"/>
        </w:rPr>
        <w:t xml:space="preserve"> that mitigates the risks of </w:t>
      </w:r>
      <w:r w:rsidRPr="001C0AB9">
        <w:rPr>
          <w:b/>
          <w:bCs/>
          <w:lang w:val="en-GB" w:eastAsia="fr-BE"/>
        </w:rPr>
        <w:t>asymmetric decarbonization, global overcapacity, and intensifying trade tensions</w:t>
      </w:r>
      <w:r w:rsidRPr="001C0AB9">
        <w:rPr>
          <w:lang w:val="en-GB" w:eastAsia="fr-BE"/>
        </w:rPr>
        <w:t xml:space="preserve">, while </w:t>
      </w:r>
      <w:r w:rsidRPr="001C0AB9">
        <w:rPr>
          <w:b/>
          <w:bCs/>
          <w:lang w:val="en-GB" w:eastAsia="fr-BE"/>
        </w:rPr>
        <w:t>strengthening autonomy in critical raw materials</w:t>
      </w:r>
      <w:r w:rsidRPr="001C0AB9">
        <w:rPr>
          <w:lang w:val="en-GB" w:eastAsia="fr-BE"/>
        </w:rPr>
        <w:t xml:space="preserve"> to safeguard Europe’s industrial future.</w:t>
      </w:r>
    </w:p>
    <w:p w:rsidRPr="001C0AB9" w:rsidR="001C0AB9" w:rsidP="00BE1F8F" w:rsidRDefault="001C0AB9" w14:paraId="5031E8B4" w14:textId="77777777">
      <w:pPr>
        <w:widowControl w:val="0"/>
        <w:overflowPunct w:val="0"/>
        <w:autoSpaceDE w:val="0"/>
        <w:autoSpaceDN w:val="0"/>
        <w:adjustRightInd w:val="0"/>
        <w:ind w:left="709"/>
        <w:textAlignment w:val="baseline"/>
        <w:rPr>
          <w:szCs w:val="20"/>
          <w:lang w:val="en-GB"/>
        </w:rPr>
      </w:pPr>
    </w:p>
    <w:tbl>
      <w:tblPr>
        <w:tblW w:w="4942" w:type="pct"/>
        <w:tblLook w:val="04A0" w:firstRow="1" w:lastRow="0" w:firstColumn="1" w:lastColumn="0" w:noHBand="0" w:noVBand="1"/>
      </w:tblPr>
      <w:tblGrid>
        <w:gridCol w:w="1667"/>
        <w:gridCol w:w="7512"/>
      </w:tblGrid>
      <w:tr w:rsidRPr="001C0AB9" w:rsidR="001C0AB9" w:rsidTr="00713105" w14:paraId="255B6976" w14:textId="77777777">
        <w:tc>
          <w:tcPr>
            <w:tcW w:w="908" w:type="pct"/>
          </w:tcPr>
          <w:p w:rsidRPr="001C0AB9" w:rsidR="001C0AB9" w:rsidP="00BE1F8F" w:rsidRDefault="001C0AB9" w14:paraId="25B90EB8" w14:textId="77777777">
            <w:pPr>
              <w:overflowPunct w:val="0"/>
              <w:autoSpaceDE w:val="0"/>
              <w:autoSpaceDN w:val="0"/>
              <w:adjustRightInd w:val="0"/>
              <w:textAlignment w:val="baseline"/>
              <w:rPr>
                <w:i/>
              </w:rPr>
            </w:pPr>
            <w:r w:rsidRPr="001C0AB9">
              <w:rPr>
                <w:b/>
                <w:i/>
              </w:rPr>
              <w:t>Contact</w:t>
            </w:r>
          </w:p>
        </w:tc>
        <w:tc>
          <w:tcPr>
            <w:tcW w:w="4092" w:type="pct"/>
          </w:tcPr>
          <w:p w:rsidRPr="001C0AB9" w:rsidR="001C0AB9" w:rsidP="00BE1F8F" w:rsidRDefault="001C0AB9" w14:paraId="47766DB4" w14:textId="77777777">
            <w:pPr>
              <w:overflowPunct w:val="0"/>
              <w:autoSpaceDE w:val="0"/>
              <w:autoSpaceDN w:val="0"/>
              <w:adjustRightInd w:val="0"/>
              <w:textAlignment w:val="baseline"/>
              <w:rPr>
                <w:i/>
              </w:rPr>
            </w:pPr>
            <w:r w:rsidRPr="001C0AB9">
              <w:rPr>
                <w:i/>
              </w:rPr>
              <w:t>Silvia Staffa</w:t>
            </w:r>
          </w:p>
        </w:tc>
      </w:tr>
      <w:tr w:rsidRPr="001C0AB9" w:rsidR="001C0AB9" w:rsidTr="00713105" w14:paraId="7C1DD93F" w14:textId="77777777">
        <w:tc>
          <w:tcPr>
            <w:tcW w:w="908" w:type="pct"/>
          </w:tcPr>
          <w:p w:rsidRPr="001C0AB9" w:rsidR="001C0AB9" w:rsidP="00BE1F8F" w:rsidRDefault="001C0AB9" w14:paraId="3EE989E4" w14:textId="77777777">
            <w:pPr>
              <w:overflowPunct w:val="0"/>
              <w:autoSpaceDE w:val="0"/>
              <w:autoSpaceDN w:val="0"/>
              <w:adjustRightInd w:val="0"/>
              <w:textAlignment w:val="baseline"/>
              <w:rPr>
                <w:i/>
              </w:rPr>
            </w:pPr>
            <w:r w:rsidRPr="001C0AB9">
              <w:rPr>
                <w:i/>
              </w:rPr>
              <w:t>Tel.</w:t>
            </w:r>
          </w:p>
        </w:tc>
        <w:tc>
          <w:tcPr>
            <w:tcW w:w="4092" w:type="pct"/>
          </w:tcPr>
          <w:p w:rsidRPr="001C0AB9" w:rsidR="001C0AB9" w:rsidP="00BE1F8F" w:rsidRDefault="001C0AB9" w14:paraId="205BC83F" w14:textId="77777777">
            <w:pPr>
              <w:overflowPunct w:val="0"/>
              <w:autoSpaceDE w:val="0"/>
              <w:autoSpaceDN w:val="0"/>
              <w:adjustRightInd w:val="0"/>
              <w:textAlignment w:val="baseline"/>
              <w:rPr>
                <w:i/>
              </w:rPr>
            </w:pPr>
            <w:r w:rsidRPr="001C0AB9">
              <w:rPr>
                <w:i/>
              </w:rPr>
              <w:t>+32 25468378</w:t>
            </w:r>
          </w:p>
        </w:tc>
      </w:tr>
      <w:tr w:rsidRPr="001C0AB9" w:rsidR="001C0AB9" w:rsidTr="00713105" w14:paraId="0E5D8409" w14:textId="77777777">
        <w:tc>
          <w:tcPr>
            <w:tcW w:w="908" w:type="pct"/>
          </w:tcPr>
          <w:p w:rsidRPr="001C0AB9" w:rsidR="001C0AB9" w:rsidP="00BE1F8F" w:rsidRDefault="00402449" w14:paraId="20244737" w14:textId="72ECCE95">
            <w:pPr>
              <w:overflowPunct w:val="0"/>
              <w:autoSpaceDE w:val="0"/>
              <w:autoSpaceDN w:val="0"/>
              <w:adjustRightInd w:val="0"/>
              <w:textAlignment w:val="baseline"/>
              <w:rPr>
                <w:i/>
              </w:rPr>
            </w:pPr>
            <w:r>
              <w:rPr>
                <w:i/>
              </w:rPr>
              <w:t>E</w:t>
            </w:r>
            <w:r w:rsidRPr="001C0AB9" w:rsidR="001C0AB9">
              <w:rPr>
                <w:i/>
              </w:rPr>
              <w:t>mail</w:t>
            </w:r>
          </w:p>
        </w:tc>
        <w:tc>
          <w:tcPr>
            <w:tcW w:w="4092" w:type="pct"/>
          </w:tcPr>
          <w:p w:rsidRPr="001C0AB9" w:rsidR="001C0AB9" w:rsidP="00BE1F8F" w:rsidRDefault="002C4029" w14:paraId="2ACCD03D" w14:textId="77777777">
            <w:pPr>
              <w:overflowPunct w:val="0"/>
              <w:autoSpaceDE w:val="0"/>
              <w:autoSpaceDN w:val="0"/>
              <w:adjustRightInd w:val="0"/>
              <w:textAlignment w:val="baseline"/>
              <w:rPr>
                <w:i/>
              </w:rPr>
            </w:pPr>
            <w:hyperlink w:history="1" r:id="rId50">
              <w:r w:rsidRPr="001C0AB9" w:rsidR="001C0AB9">
                <w:rPr>
                  <w:i/>
                  <w:color w:val="0000FF"/>
                  <w:u w:val="single"/>
                  <w:lang w:val="en-GB"/>
                </w:rPr>
                <w:t>Silvia.Staffa</w:t>
              </w:r>
              <w:r w:rsidRPr="001C0AB9" w:rsidR="001C0AB9">
                <w:rPr>
                  <w:i/>
                  <w:color w:val="0000FF"/>
                  <w:u w:val="single"/>
                </w:rPr>
                <w:t>@eesc.europa.eu</w:t>
              </w:r>
            </w:hyperlink>
          </w:p>
        </w:tc>
      </w:tr>
    </w:tbl>
    <w:p w:rsidR="00A124AE" w:rsidP="00BE1F8F" w:rsidRDefault="00A124AE" w14:paraId="5E11233F" w14:textId="77777777">
      <w:pPr>
        <w:jc w:val="left"/>
      </w:pPr>
    </w:p>
    <w:p w:rsidR="00A124AE" w:rsidP="00BE1F8F" w:rsidRDefault="00A124AE" w14:paraId="64128581" w14:textId="77777777">
      <w:pPr>
        <w:jc w:val="left"/>
      </w:pPr>
      <w:r>
        <w:br w:type="page"/>
      </w:r>
    </w:p>
    <w:p w:rsidRPr="00C43D3E" w:rsidR="00A124AE" w:rsidP="00BE1F8F" w:rsidRDefault="002C4029" w14:paraId="6CCC3167" w14:textId="151451A1">
      <w:pPr>
        <w:widowControl w:val="0"/>
        <w:numPr>
          <w:ilvl w:val="0"/>
          <w:numId w:val="2"/>
        </w:numPr>
        <w:overflowPunct w:val="0"/>
        <w:autoSpaceDE w:val="0"/>
        <w:autoSpaceDN w:val="0"/>
        <w:adjustRightInd w:val="0"/>
        <w:ind w:hanging="567"/>
        <w:textAlignment w:val="baseline"/>
        <w:rPr>
          <w:b/>
          <w:bCs/>
          <w:i/>
          <w:iCs/>
          <w:sz w:val="28"/>
          <w:szCs w:val="28"/>
          <w:u w:val="single"/>
          <w:lang w:val="en-GB"/>
        </w:rPr>
      </w:pPr>
      <w:hyperlink w:history="1" r:id="rId51">
        <w:r w:rsidRPr="00865A78" w:rsidR="00A124AE">
          <w:rPr>
            <w:b/>
            <w:bCs/>
            <w:i/>
            <w:iCs/>
            <w:color w:val="0000FF"/>
            <w:sz w:val="28"/>
            <w:szCs w:val="28"/>
            <w:u w:val="single"/>
            <w:lang w:val="en-GB"/>
          </w:rPr>
          <w:t xml:space="preserve">Tourism </w:t>
        </w:r>
        <w:r w:rsidRPr="00865A78" w:rsidR="00865A78">
          <w:rPr>
            <w:b/>
            <w:bCs/>
            <w:i/>
            <w:iCs/>
            <w:color w:val="0000FF"/>
            <w:sz w:val="28"/>
            <w:szCs w:val="28"/>
            <w:u w:val="single"/>
            <w:lang w:val="en-GB"/>
          </w:rPr>
          <w:t>in the EU:</w:t>
        </w:r>
        <w:r w:rsidR="00865A78">
          <w:rPr>
            <w:b/>
            <w:bCs/>
            <w:i/>
            <w:iCs/>
            <w:color w:val="0000FF"/>
            <w:sz w:val="28"/>
            <w:szCs w:val="28"/>
            <w:u w:val="single"/>
            <w:lang w:val="en-GB"/>
          </w:rPr>
          <w:t xml:space="preserve"> </w:t>
        </w:r>
        <w:r w:rsidRPr="00865A78" w:rsidR="00A124AE">
          <w:rPr>
            <w:b/>
            <w:bCs/>
            <w:i/>
            <w:iCs/>
            <w:color w:val="0000FF"/>
            <w:sz w:val="28"/>
            <w:szCs w:val="28"/>
            <w:u w:val="single"/>
            <w:lang w:val="en-GB"/>
          </w:rPr>
          <w:t>sustainability</w:t>
        </w:r>
      </w:hyperlink>
      <w:r w:rsidRPr="00C43D3E" w:rsidR="00865A78">
        <w:rPr>
          <w:b/>
          <w:bCs/>
          <w:i/>
          <w:iCs/>
          <w:color w:val="0000FF"/>
          <w:sz w:val="28"/>
          <w:szCs w:val="28"/>
          <w:u w:val="single"/>
        </w:rPr>
        <w:t xml:space="preserve"> as a driver for long-term competitiveness</w:t>
      </w:r>
    </w:p>
    <w:p w:rsidRPr="00A124AE" w:rsidR="00A124AE" w:rsidP="00BE1F8F" w:rsidRDefault="00A124AE" w14:paraId="70901E46" w14:textId="77777777">
      <w:pPr>
        <w:tabs>
          <w:tab w:val="center" w:pos="284"/>
        </w:tabs>
        <w:overflowPunct w:val="0"/>
        <w:autoSpaceDE w:val="0"/>
        <w:autoSpaceDN w:val="0"/>
        <w:adjustRightInd w:val="0"/>
        <w:ind w:left="266" w:hanging="266"/>
        <w:textAlignment w:val="baseline"/>
        <w:rPr>
          <w:b/>
          <w:lang w:val="en-GB"/>
        </w:rPr>
      </w:pPr>
    </w:p>
    <w:tbl>
      <w:tblPr>
        <w:tblW w:w="5000" w:type="pct"/>
        <w:tblLook w:val="04A0" w:firstRow="1" w:lastRow="0" w:firstColumn="1" w:lastColumn="0" w:noHBand="0" w:noVBand="1"/>
      </w:tblPr>
      <w:tblGrid>
        <w:gridCol w:w="2025"/>
        <w:gridCol w:w="7262"/>
      </w:tblGrid>
      <w:tr w:rsidRPr="00A124AE" w:rsidR="00A124AE" w:rsidTr="00713105" w14:paraId="5244175C" w14:textId="77777777">
        <w:trPr>
          <w:trHeight w:val="322"/>
        </w:trPr>
        <w:tc>
          <w:tcPr>
            <w:tcW w:w="1090" w:type="pct"/>
          </w:tcPr>
          <w:p w:rsidRPr="00A124AE" w:rsidR="00A124AE" w:rsidP="00BE1F8F" w:rsidRDefault="00A124AE" w14:paraId="1416C2D0" w14:textId="3DD291D0">
            <w:pPr>
              <w:tabs>
                <w:tab w:val="center" w:pos="284"/>
              </w:tabs>
              <w:overflowPunct w:val="0"/>
              <w:autoSpaceDE w:val="0"/>
              <w:autoSpaceDN w:val="0"/>
              <w:adjustRightInd w:val="0"/>
              <w:ind w:left="266" w:hanging="266"/>
              <w:textAlignment w:val="baseline"/>
              <w:rPr>
                <w:b/>
              </w:rPr>
            </w:pPr>
            <w:r w:rsidRPr="00A124AE">
              <w:rPr>
                <w:b/>
              </w:rPr>
              <w:t>Rapporteur</w:t>
            </w:r>
          </w:p>
        </w:tc>
        <w:tc>
          <w:tcPr>
            <w:tcW w:w="3910" w:type="pct"/>
          </w:tcPr>
          <w:p w:rsidRPr="00A124AE" w:rsidR="00A124AE" w:rsidP="00BE1F8F" w:rsidRDefault="00A124AE" w14:paraId="483C743D" w14:textId="478C4635">
            <w:pPr>
              <w:tabs>
                <w:tab w:val="center" w:pos="0"/>
              </w:tabs>
              <w:overflowPunct w:val="0"/>
              <w:autoSpaceDE w:val="0"/>
              <w:autoSpaceDN w:val="0"/>
              <w:adjustRightInd w:val="0"/>
              <w:ind w:left="266" w:hanging="266"/>
              <w:textAlignment w:val="baseline"/>
              <w:rPr>
                <w:lang w:val="en-GB"/>
              </w:rPr>
            </w:pPr>
            <w:r w:rsidRPr="00A124AE">
              <w:rPr>
                <w:bCs/>
              </w:rPr>
              <w:t xml:space="preserve">Isabel YGLESIAS </w:t>
            </w:r>
            <w:r w:rsidRPr="00A124AE">
              <w:t xml:space="preserve">(Employers' Group </w:t>
            </w:r>
            <w:r w:rsidR="00C67580">
              <w:rPr>
                <w:lang w:val="en-GB"/>
              </w:rPr>
              <w:t>-</w:t>
            </w:r>
            <w:r w:rsidRPr="00A124AE">
              <w:rPr>
                <w:lang w:val="en-GB"/>
              </w:rPr>
              <w:t xml:space="preserve"> Spain</w:t>
            </w:r>
            <w:r w:rsidRPr="00A124AE">
              <w:t>)</w:t>
            </w:r>
          </w:p>
        </w:tc>
      </w:tr>
      <w:tr w:rsidRPr="00A124AE" w:rsidR="00A124AE" w:rsidTr="00713105" w14:paraId="466A9A73" w14:textId="77777777">
        <w:tc>
          <w:tcPr>
            <w:tcW w:w="1090" w:type="pct"/>
          </w:tcPr>
          <w:p w:rsidRPr="00A124AE" w:rsidR="00A124AE" w:rsidP="00BE1F8F" w:rsidRDefault="00A124AE" w14:paraId="1940FE0A" w14:textId="7BF07B25">
            <w:pPr>
              <w:tabs>
                <w:tab w:val="center" w:pos="284"/>
              </w:tabs>
              <w:overflowPunct w:val="0"/>
              <w:autoSpaceDE w:val="0"/>
              <w:autoSpaceDN w:val="0"/>
              <w:adjustRightInd w:val="0"/>
              <w:ind w:left="266" w:hanging="266"/>
              <w:textAlignment w:val="baseline"/>
              <w:rPr>
                <w:b/>
              </w:rPr>
            </w:pPr>
            <w:r w:rsidRPr="00A124AE">
              <w:rPr>
                <w:b/>
              </w:rPr>
              <w:t>Reference</w:t>
            </w:r>
          </w:p>
        </w:tc>
        <w:tc>
          <w:tcPr>
            <w:tcW w:w="3910" w:type="pct"/>
          </w:tcPr>
          <w:p w:rsidRPr="00A124AE" w:rsidR="00A124AE" w:rsidP="00BE1F8F" w:rsidRDefault="00A124AE" w14:paraId="6D5E8266" w14:textId="6A9AC87B">
            <w:pPr>
              <w:tabs>
                <w:tab w:val="center" w:pos="284"/>
              </w:tabs>
              <w:overflowPunct w:val="0"/>
              <w:autoSpaceDE w:val="0"/>
              <w:autoSpaceDN w:val="0"/>
              <w:adjustRightInd w:val="0"/>
              <w:ind w:left="266" w:hanging="266"/>
              <w:textAlignment w:val="baseline"/>
              <w:rPr>
                <w:lang w:val="en-GB"/>
              </w:rPr>
            </w:pPr>
            <w:r w:rsidRPr="00A124AE">
              <w:rPr>
                <w:lang w:val="en-GB"/>
              </w:rPr>
              <w:t>Own</w:t>
            </w:r>
            <w:r w:rsidR="00BB17B1">
              <w:rPr>
                <w:lang w:val="en-GB"/>
              </w:rPr>
              <w:t>-</w:t>
            </w:r>
            <w:r w:rsidRPr="00A124AE">
              <w:rPr>
                <w:lang w:val="en-GB"/>
              </w:rPr>
              <w:t>initiative opinion</w:t>
            </w:r>
          </w:p>
          <w:p w:rsidRPr="00A124AE" w:rsidR="00A124AE" w:rsidP="00BE1F8F" w:rsidRDefault="00A124AE" w14:paraId="5DBD68CE" w14:textId="77777777">
            <w:pPr>
              <w:tabs>
                <w:tab w:val="center" w:pos="284"/>
              </w:tabs>
              <w:overflowPunct w:val="0"/>
              <w:autoSpaceDE w:val="0"/>
              <w:autoSpaceDN w:val="0"/>
              <w:adjustRightInd w:val="0"/>
              <w:ind w:left="266" w:hanging="266"/>
              <w:textAlignment w:val="baseline"/>
            </w:pPr>
            <w:r w:rsidRPr="00A124AE">
              <w:rPr>
                <w:lang w:val="en-GB"/>
              </w:rPr>
              <w:t>EESC-2024-00656-00-00-AC</w:t>
            </w:r>
          </w:p>
        </w:tc>
      </w:tr>
    </w:tbl>
    <w:p w:rsidRPr="00A124AE" w:rsidR="00A124AE" w:rsidP="00BE1F8F" w:rsidRDefault="00A124AE" w14:paraId="02B41209" w14:textId="77777777">
      <w:pPr>
        <w:tabs>
          <w:tab w:val="center" w:pos="284"/>
        </w:tabs>
        <w:overflowPunct w:val="0"/>
        <w:autoSpaceDE w:val="0"/>
        <w:autoSpaceDN w:val="0"/>
        <w:adjustRightInd w:val="0"/>
        <w:ind w:left="266" w:hanging="266"/>
        <w:textAlignment w:val="baseline"/>
        <w:rPr>
          <w:b/>
          <w:lang w:val="en-GB"/>
        </w:rPr>
      </w:pPr>
    </w:p>
    <w:p w:rsidRPr="00A124AE" w:rsidR="00A124AE" w:rsidP="00BE1F8F" w:rsidRDefault="00A124AE" w14:paraId="51249818" w14:textId="77777777">
      <w:pPr>
        <w:tabs>
          <w:tab w:val="center" w:pos="284"/>
        </w:tabs>
        <w:overflowPunct w:val="0"/>
        <w:autoSpaceDE w:val="0"/>
        <w:autoSpaceDN w:val="0"/>
        <w:adjustRightInd w:val="0"/>
        <w:ind w:left="266" w:hanging="266"/>
        <w:textAlignment w:val="baseline"/>
        <w:rPr>
          <w:b/>
          <w:lang w:val="en-GB"/>
        </w:rPr>
      </w:pPr>
      <w:r w:rsidRPr="00A124AE">
        <w:rPr>
          <w:b/>
          <w:lang w:val="en-GB"/>
        </w:rPr>
        <w:t>Key points</w:t>
      </w:r>
    </w:p>
    <w:p w:rsidRPr="00A124AE" w:rsidR="00A124AE" w:rsidP="00BE1F8F" w:rsidRDefault="00A124AE" w14:paraId="03EBACBD" w14:textId="77777777">
      <w:pPr>
        <w:tabs>
          <w:tab w:val="center" w:pos="284"/>
        </w:tabs>
        <w:overflowPunct w:val="0"/>
        <w:autoSpaceDE w:val="0"/>
        <w:autoSpaceDN w:val="0"/>
        <w:adjustRightInd w:val="0"/>
        <w:ind w:left="266" w:hanging="266"/>
        <w:textAlignment w:val="baseline"/>
        <w:rPr>
          <w:bCs/>
          <w:lang w:val="en-GB"/>
        </w:rPr>
      </w:pPr>
    </w:p>
    <w:p w:rsidRPr="00A124AE" w:rsidR="00A124AE" w:rsidP="00713105" w:rsidRDefault="00A124AE" w14:paraId="73E68146" w14:textId="372BFA81">
      <w:pPr>
        <w:overflowPunct w:val="0"/>
        <w:autoSpaceDE w:val="0"/>
        <w:autoSpaceDN w:val="0"/>
        <w:adjustRightInd w:val="0"/>
        <w:textAlignment w:val="baseline"/>
        <w:rPr>
          <w:bCs/>
          <w:iCs/>
          <w:lang w:val="en-GB"/>
        </w:rPr>
      </w:pPr>
      <w:r w:rsidRPr="00A124AE">
        <w:rPr>
          <w:bCs/>
          <w:iCs/>
          <w:lang w:val="en-GB"/>
        </w:rPr>
        <w:t>The EESC:</w:t>
      </w:r>
    </w:p>
    <w:p w:rsidRPr="00A124AE" w:rsidR="00A124AE" w:rsidP="00BE1F8F" w:rsidRDefault="00A124AE" w14:paraId="6CFA5AB5" w14:textId="77777777">
      <w:pPr>
        <w:numPr>
          <w:ilvl w:val="0"/>
          <w:numId w:val="34"/>
        </w:numPr>
        <w:overflowPunct w:val="0"/>
        <w:autoSpaceDE w:val="0"/>
        <w:autoSpaceDN w:val="0"/>
        <w:adjustRightInd w:val="0"/>
        <w:ind w:left="284" w:hanging="284"/>
        <w:contextualSpacing/>
        <w:textAlignment w:val="baseline"/>
        <w:rPr>
          <w:bCs/>
          <w:iCs/>
          <w:lang w:val="en-GB"/>
        </w:rPr>
      </w:pPr>
      <w:r w:rsidRPr="00A124AE">
        <w:rPr>
          <w:bCs/>
          <w:iCs/>
          <w:lang w:val="en-GB"/>
        </w:rPr>
        <w:t xml:space="preserve">emphasises that the </w:t>
      </w:r>
      <w:r w:rsidRPr="00A124AE">
        <w:rPr>
          <w:b/>
          <w:iCs/>
          <w:lang w:val="en-GB"/>
        </w:rPr>
        <w:t xml:space="preserve">transition to sustainable tourism </w:t>
      </w:r>
      <w:r w:rsidRPr="00A124AE">
        <w:rPr>
          <w:bCs/>
          <w:iCs/>
          <w:lang w:val="en-GB"/>
        </w:rPr>
        <w:t xml:space="preserve">should be accelerated and </w:t>
      </w:r>
      <w:r w:rsidRPr="00A124AE">
        <w:rPr>
          <w:b/>
          <w:iCs/>
          <w:lang w:val="en-GB"/>
        </w:rPr>
        <w:t>regenerative tourism strategies must be implemented</w:t>
      </w:r>
      <w:r w:rsidRPr="00A124AE">
        <w:rPr>
          <w:bCs/>
          <w:iCs/>
          <w:lang w:val="en-GB"/>
        </w:rPr>
        <w:t xml:space="preserve"> to ensure that regions highly specialised in tourism can fully contribute to boosting the EU’s competitiveness through tourism. Regenerative tourism goes further than sustainable tourism: it uses practices designed to restore and strengthen natural, social and economic capital, with a positive and lasting impact on destinations and communities;</w:t>
      </w:r>
    </w:p>
    <w:p w:rsidRPr="00A124AE" w:rsidR="00A124AE" w:rsidP="00BE1F8F" w:rsidRDefault="00A124AE" w14:paraId="5B76C178" w14:textId="77777777">
      <w:pPr>
        <w:numPr>
          <w:ilvl w:val="0"/>
          <w:numId w:val="34"/>
        </w:numPr>
        <w:overflowPunct w:val="0"/>
        <w:autoSpaceDE w:val="0"/>
        <w:autoSpaceDN w:val="0"/>
        <w:adjustRightInd w:val="0"/>
        <w:ind w:left="284" w:hanging="284"/>
        <w:contextualSpacing/>
        <w:textAlignment w:val="baseline"/>
        <w:rPr>
          <w:bCs/>
          <w:iCs/>
          <w:lang w:val="en-GB"/>
        </w:rPr>
      </w:pPr>
      <w:r w:rsidRPr="00A124AE">
        <w:rPr>
          <w:bCs/>
          <w:iCs/>
          <w:lang w:val="en-GB"/>
        </w:rPr>
        <w:t xml:space="preserve">recommends that </w:t>
      </w:r>
      <w:r w:rsidRPr="00A124AE">
        <w:rPr>
          <w:b/>
          <w:iCs/>
          <w:lang w:val="en-GB"/>
        </w:rPr>
        <w:t>the new EU legislative cycle should promote tourism policies that include active regeneration objectives</w:t>
      </w:r>
      <w:r w:rsidRPr="00A124AE">
        <w:rPr>
          <w:bCs/>
          <w:iCs/>
          <w:lang w:val="en-GB"/>
        </w:rPr>
        <w:t xml:space="preserve"> and take into account how all the components of a tourist destination are interconnected: ecosystems, communities, the local economy and visitors;</w:t>
      </w:r>
    </w:p>
    <w:p w:rsidRPr="00A124AE" w:rsidR="00A124AE" w:rsidP="00BE1F8F" w:rsidRDefault="00A124AE" w14:paraId="75E91233" w14:textId="77777777">
      <w:pPr>
        <w:numPr>
          <w:ilvl w:val="0"/>
          <w:numId w:val="34"/>
        </w:numPr>
        <w:overflowPunct w:val="0"/>
        <w:autoSpaceDE w:val="0"/>
        <w:autoSpaceDN w:val="0"/>
        <w:adjustRightInd w:val="0"/>
        <w:ind w:left="284" w:hanging="284"/>
        <w:contextualSpacing/>
        <w:textAlignment w:val="baseline"/>
        <w:rPr>
          <w:bCs/>
          <w:iCs/>
          <w:lang w:val="en-GB"/>
        </w:rPr>
      </w:pPr>
      <w:r w:rsidRPr="00A124AE">
        <w:rPr>
          <w:bCs/>
          <w:iCs/>
          <w:lang w:val="en-GB"/>
        </w:rPr>
        <w:t xml:space="preserve">proposes developing </w:t>
      </w:r>
      <w:r w:rsidRPr="00A124AE">
        <w:rPr>
          <w:b/>
          <w:iCs/>
          <w:lang w:val="en-GB"/>
        </w:rPr>
        <w:t>clear guidelines and concrete measures to accelerate the transition</w:t>
      </w:r>
      <w:r w:rsidRPr="00A124AE">
        <w:rPr>
          <w:bCs/>
          <w:iCs/>
          <w:lang w:val="en-GB"/>
        </w:rPr>
        <w:t xml:space="preserve"> to a tourism model centred around active regeneration and social value in the framework of the sustainable tourism strategy. This strategy should be accompanied by appropriate </w:t>
      </w:r>
      <w:r w:rsidRPr="00A124AE">
        <w:rPr>
          <w:b/>
          <w:iCs/>
          <w:lang w:val="en-GB"/>
        </w:rPr>
        <w:t>funding and research programmes</w:t>
      </w:r>
      <w:r w:rsidRPr="00A124AE">
        <w:rPr>
          <w:bCs/>
          <w:iCs/>
          <w:lang w:val="en-GB"/>
        </w:rPr>
        <w:t xml:space="preserve">, as well as </w:t>
      </w:r>
      <w:r w:rsidRPr="00A124AE">
        <w:rPr>
          <w:b/>
          <w:iCs/>
          <w:lang w:val="en-GB"/>
        </w:rPr>
        <w:t>social and training policies</w:t>
      </w:r>
      <w:r w:rsidRPr="00A124AE">
        <w:rPr>
          <w:bCs/>
          <w:iCs/>
          <w:lang w:val="en-GB"/>
        </w:rPr>
        <w:t xml:space="preserve"> to ensure that it is implemented effectively;</w:t>
      </w:r>
    </w:p>
    <w:p w:rsidRPr="00A124AE" w:rsidR="00A124AE" w:rsidP="00BE1F8F" w:rsidRDefault="00A124AE" w14:paraId="096C272A" w14:textId="77777777">
      <w:pPr>
        <w:numPr>
          <w:ilvl w:val="0"/>
          <w:numId w:val="34"/>
        </w:numPr>
        <w:overflowPunct w:val="0"/>
        <w:autoSpaceDE w:val="0"/>
        <w:autoSpaceDN w:val="0"/>
        <w:adjustRightInd w:val="0"/>
        <w:ind w:left="284" w:hanging="284"/>
        <w:contextualSpacing/>
        <w:textAlignment w:val="baseline"/>
        <w:rPr>
          <w:bCs/>
          <w:iCs/>
          <w:lang w:val="en-GB"/>
        </w:rPr>
      </w:pPr>
      <w:r w:rsidRPr="00A124AE">
        <w:rPr>
          <w:bCs/>
          <w:iCs/>
          <w:lang w:val="en-GB"/>
        </w:rPr>
        <w:t xml:space="preserve">stresses that </w:t>
      </w:r>
      <w:r w:rsidRPr="00A124AE">
        <w:rPr>
          <w:b/>
          <w:iCs/>
          <w:lang w:val="en-GB"/>
        </w:rPr>
        <w:t>training and upskilling employees in sustainability and the circular economy</w:t>
      </w:r>
      <w:r w:rsidRPr="00A124AE">
        <w:rPr>
          <w:bCs/>
          <w:iCs/>
          <w:lang w:val="en-GB"/>
        </w:rPr>
        <w:t xml:space="preserve"> is key to increasing job quality and attracting and retaining the talent needed to make the transition to regenerative tourism possible and viable. To achieve these objectives, efforts should be made to involve consumers more. The combination of economic incentives, accessible models and strategies to encourage </w:t>
      </w:r>
      <w:r w:rsidRPr="00A124AE">
        <w:rPr>
          <w:b/>
          <w:iCs/>
          <w:lang w:val="en-GB"/>
        </w:rPr>
        <w:t>year-round tourism</w:t>
      </w:r>
      <w:r w:rsidRPr="00A124AE">
        <w:rPr>
          <w:bCs/>
          <w:iCs/>
          <w:lang w:val="en-GB"/>
        </w:rPr>
        <w:t xml:space="preserve"> is key to involving them more widely and more effectively.</w:t>
      </w:r>
    </w:p>
    <w:p w:rsidRPr="00A124AE" w:rsidR="00A124AE" w:rsidP="00BE1F8F" w:rsidRDefault="00A124AE" w14:paraId="15273AD2" w14:textId="77777777">
      <w:pPr>
        <w:ind w:left="567"/>
        <w:contextualSpacing/>
        <w:rPr>
          <w:bCs/>
          <w:iCs/>
          <w:lang w:val="en-GB"/>
        </w:rPr>
      </w:pPr>
    </w:p>
    <w:tbl>
      <w:tblPr>
        <w:tblW w:w="5000" w:type="pct"/>
        <w:tblLook w:val="04A0" w:firstRow="1" w:lastRow="0" w:firstColumn="1" w:lastColumn="0" w:noHBand="0" w:noVBand="1"/>
      </w:tblPr>
      <w:tblGrid>
        <w:gridCol w:w="1662"/>
        <w:gridCol w:w="7625"/>
      </w:tblGrid>
      <w:tr w:rsidRPr="00A124AE" w:rsidR="00A124AE" w:rsidTr="00713105" w14:paraId="7E775A80" w14:textId="77777777">
        <w:tc>
          <w:tcPr>
            <w:tcW w:w="895" w:type="pct"/>
          </w:tcPr>
          <w:p w:rsidRPr="00A124AE" w:rsidR="00A124AE" w:rsidP="00BE1F8F" w:rsidRDefault="00A124AE" w14:paraId="1D08457C" w14:textId="77777777">
            <w:pPr>
              <w:overflowPunct w:val="0"/>
              <w:autoSpaceDE w:val="0"/>
              <w:autoSpaceDN w:val="0"/>
              <w:adjustRightInd w:val="0"/>
              <w:textAlignment w:val="baseline"/>
              <w:rPr>
                <w:i/>
              </w:rPr>
            </w:pPr>
            <w:r w:rsidRPr="00A124AE">
              <w:rPr>
                <w:b/>
                <w:i/>
              </w:rPr>
              <w:t>Contact</w:t>
            </w:r>
          </w:p>
        </w:tc>
        <w:tc>
          <w:tcPr>
            <w:tcW w:w="4105" w:type="pct"/>
          </w:tcPr>
          <w:p w:rsidRPr="00A124AE" w:rsidR="00A124AE" w:rsidP="00BE1F8F" w:rsidRDefault="00A124AE" w14:paraId="615E6C8D" w14:textId="36E1239F">
            <w:pPr>
              <w:overflowPunct w:val="0"/>
              <w:autoSpaceDE w:val="0"/>
              <w:autoSpaceDN w:val="0"/>
              <w:adjustRightInd w:val="0"/>
              <w:textAlignment w:val="baseline"/>
              <w:rPr>
                <w:i/>
              </w:rPr>
            </w:pPr>
            <w:r w:rsidRPr="00A124AE">
              <w:rPr>
                <w:i/>
              </w:rPr>
              <w:t>Silvia S</w:t>
            </w:r>
            <w:r w:rsidRPr="00A124AE" w:rsidR="00C67D5A">
              <w:rPr>
                <w:i/>
              </w:rPr>
              <w:t>taffa</w:t>
            </w:r>
          </w:p>
        </w:tc>
      </w:tr>
      <w:tr w:rsidRPr="00A124AE" w:rsidR="00A124AE" w:rsidTr="00713105" w14:paraId="2BB8DEB2" w14:textId="77777777">
        <w:tc>
          <w:tcPr>
            <w:tcW w:w="895" w:type="pct"/>
          </w:tcPr>
          <w:p w:rsidRPr="00A124AE" w:rsidR="00A124AE" w:rsidP="00BE1F8F" w:rsidRDefault="00A124AE" w14:paraId="43D7D550" w14:textId="77777777">
            <w:pPr>
              <w:overflowPunct w:val="0"/>
              <w:autoSpaceDE w:val="0"/>
              <w:autoSpaceDN w:val="0"/>
              <w:adjustRightInd w:val="0"/>
              <w:textAlignment w:val="baseline"/>
              <w:rPr>
                <w:i/>
              </w:rPr>
            </w:pPr>
            <w:r w:rsidRPr="00A124AE">
              <w:rPr>
                <w:i/>
              </w:rPr>
              <w:t>Tel.</w:t>
            </w:r>
          </w:p>
        </w:tc>
        <w:tc>
          <w:tcPr>
            <w:tcW w:w="4105" w:type="pct"/>
          </w:tcPr>
          <w:p w:rsidRPr="00A124AE" w:rsidR="00A124AE" w:rsidP="00BE1F8F" w:rsidRDefault="00A124AE" w14:paraId="4A1F3ECB" w14:textId="4482010E">
            <w:pPr>
              <w:overflowPunct w:val="0"/>
              <w:autoSpaceDE w:val="0"/>
              <w:autoSpaceDN w:val="0"/>
              <w:adjustRightInd w:val="0"/>
              <w:textAlignment w:val="baseline"/>
              <w:rPr>
                <w:i/>
              </w:rPr>
            </w:pPr>
            <w:r w:rsidRPr="00A124AE">
              <w:rPr>
                <w:i/>
              </w:rPr>
              <w:t>+32 25468378</w:t>
            </w:r>
          </w:p>
        </w:tc>
      </w:tr>
      <w:tr w:rsidRPr="00A124AE" w:rsidR="00A124AE" w:rsidTr="00713105" w14:paraId="2D7C493D" w14:textId="77777777">
        <w:tc>
          <w:tcPr>
            <w:tcW w:w="895" w:type="pct"/>
          </w:tcPr>
          <w:p w:rsidRPr="00A124AE" w:rsidR="00A124AE" w:rsidP="00BE1F8F" w:rsidRDefault="00A124AE" w14:paraId="6E440A2F" w14:textId="77777777">
            <w:pPr>
              <w:overflowPunct w:val="0"/>
              <w:autoSpaceDE w:val="0"/>
              <w:autoSpaceDN w:val="0"/>
              <w:adjustRightInd w:val="0"/>
              <w:textAlignment w:val="baseline"/>
              <w:rPr>
                <w:i/>
              </w:rPr>
            </w:pPr>
            <w:r w:rsidRPr="00A124AE">
              <w:rPr>
                <w:i/>
              </w:rPr>
              <w:t>Email</w:t>
            </w:r>
          </w:p>
        </w:tc>
        <w:tc>
          <w:tcPr>
            <w:tcW w:w="4105" w:type="pct"/>
          </w:tcPr>
          <w:p w:rsidRPr="00A124AE" w:rsidR="00A124AE" w:rsidP="00BE1F8F" w:rsidRDefault="002C4029" w14:paraId="43479DC4" w14:textId="7E7AB516">
            <w:pPr>
              <w:overflowPunct w:val="0"/>
              <w:autoSpaceDE w:val="0"/>
              <w:autoSpaceDN w:val="0"/>
              <w:adjustRightInd w:val="0"/>
              <w:textAlignment w:val="baseline"/>
              <w:rPr>
                <w:i/>
                <w:iCs/>
                <w:lang w:val="en-GB"/>
              </w:rPr>
            </w:pPr>
            <w:hyperlink w:history="1" r:id="rId52">
              <w:r w:rsidRPr="00A124AE" w:rsidR="00A124AE">
                <w:rPr>
                  <w:i/>
                  <w:iCs/>
                  <w:color w:val="0000FF"/>
                  <w:u w:val="single"/>
                  <w:lang w:val="en-GB"/>
                </w:rPr>
                <w:t>Silvia.Staffa@eesc.europa.eu</w:t>
              </w:r>
            </w:hyperlink>
          </w:p>
        </w:tc>
      </w:tr>
    </w:tbl>
    <w:p w:rsidR="00A124AE" w:rsidP="00BE1F8F" w:rsidRDefault="00A124AE" w14:paraId="521215C5" w14:textId="77777777">
      <w:pPr>
        <w:jc w:val="left"/>
        <w:rPr>
          <w:lang w:val="en-GB"/>
        </w:rPr>
      </w:pPr>
    </w:p>
    <w:p w:rsidR="00A124AE" w:rsidP="00BE1F8F" w:rsidRDefault="00A124AE" w14:paraId="3A56B00C" w14:textId="77777777">
      <w:pPr>
        <w:jc w:val="left"/>
        <w:rPr>
          <w:lang w:val="en-GB"/>
        </w:rPr>
      </w:pPr>
      <w:r>
        <w:rPr>
          <w:lang w:val="en-GB"/>
        </w:rPr>
        <w:br w:type="page"/>
      </w:r>
    </w:p>
    <w:p w:rsidR="004D7AC0" w:rsidP="00C77862" w:rsidRDefault="004D7AC0" w14:paraId="4982DE1F" w14:textId="77777777">
      <w:pPr>
        <w:pStyle w:val="Heading1"/>
        <w:keepNext/>
        <w:keepLines/>
        <w:spacing w:line="240" w:lineRule="auto"/>
        <w:rPr>
          <w:b/>
        </w:rPr>
      </w:pPr>
      <w:bookmarkStart w:name="_Toc189059540" w:id="23"/>
      <w:bookmarkStart w:name="_Toc70322234" w:id="24"/>
      <w:bookmarkStart w:name="_Toc75527084" w:id="25"/>
      <w:bookmarkStart w:name="_Toc192668670" w:id="26"/>
      <w:bookmarkEnd w:id="23"/>
      <w:r>
        <w:rPr>
          <w:b/>
        </w:rPr>
        <w:t>AGRICULTURE, RURAL DEVELOPMENT AND THE ENVIRONMENT</w:t>
      </w:r>
      <w:bookmarkEnd w:id="24"/>
      <w:bookmarkEnd w:id="25"/>
      <w:bookmarkEnd w:id="26"/>
    </w:p>
    <w:p w:rsidRPr="00C77862" w:rsidR="007F5784" w:rsidP="00C77862" w:rsidRDefault="007F5784" w14:paraId="715DB2BD" w14:textId="6CA1C4B2">
      <w:pPr>
        <w:spacing w:line="240" w:lineRule="auto"/>
        <w:jc w:val="left"/>
        <w:rPr>
          <w:sz w:val="16"/>
          <w:szCs w:val="16"/>
        </w:rPr>
      </w:pPr>
    </w:p>
    <w:p w:rsidRPr="00C43D3E" w:rsidR="00DE2D96" w:rsidP="00C77862" w:rsidRDefault="002C4029" w14:paraId="642C5AC4" w14:textId="7DDD8912">
      <w:pPr>
        <w:widowControl w:val="0"/>
        <w:numPr>
          <w:ilvl w:val="0"/>
          <w:numId w:val="10"/>
        </w:numPr>
        <w:overflowPunct w:val="0"/>
        <w:autoSpaceDE w:val="0"/>
        <w:autoSpaceDN w:val="0"/>
        <w:adjustRightInd w:val="0"/>
        <w:spacing w:line="240" w:lineRule="auto"/>
        <w:ind w:left="567" w:hanging="567"/>
        <w:textAlignment w:val="baseline"/>
        <w:rPr>
          <w:b/>
          <w:bCs/>
          <w:i/>
          <w:iCs/>
          <w:sz w:val="28"/>
          <w:szCs w:val="28"/>
          <w:u w:val="single"/>
          <w:lang w:val="en-GB"/>
        </w:rPr>
      </w:pPr>
      <w:hyperlink w:history="1" r:id="rId53">
        <w:r w:rsidRPr="00114665" w:rsidR="00DE2D96">
          <w:rPr>
            <w:b/>
            <w:bCs/>
            <w:i/>
            <w:iCs/>
            <w:color w:val="0000FF"/>
            <w:sz w:val="28"/>
            <w:szCs w:val="28"/>
            <w:u w:val="single"/>
            <w:lang w:val="en-GB"/>
          </w:rPr>
          <w:t>Ensuring sustainable food production and a fair income for European farmers</w:t>
        </w:r>
      </w:hyperlink>
      <w:r w:rsidRPr="00C43D3E" w:rsidR="00114665">
        <w:rPr>
          <w:b/>
          <w:bCs/>
          <w:i/>
          <w:iCs/>
          <w:color w:val="0000FF"/>
          <w:sz w:val="28"/>
          <w:szCs w:val="28"/>
          <w:u w:val="single"/>
        </w:rPr>
        <w:t xml:space="preserve"> in the face of market, environmental and climate challenges</w:t>
      </w:r>
    </w:p>
    <w:p w:rsidRPr="0079405E" w:rsidR="00DE2D96" w:rsidP="00BE1F8F" w:rsidRDefault="00DE2D96" w14:paraId="14A2FD1A" w14:textId="77777777">
      <w:pPr>
        <w:tabs>
          <w:tab w:val="center" w:pos="284"/>
        </w:tabs>
        <w:overflowPunct w:val="0"/>
        <w:autoSpaceDE w:val="0"/>
        <w:autoSpaceDN w:val="0"/>
        <w:adjustRightInd w:val="0"/>
        <w:ind w:left="266" w:hanging="266"/>
        <w:textAlignment w:val="baseline"/>
        <w:rPr>
          <w:b/>
          <w:sz w:val="16"/>
          <w:szCs w:val="16"/>
          <w:lang w:val="en-GB"/>
        </w:rPr>
      </w:pPr>
    </w:p>
    <w:tbl>
      <w:tblPr>
        <w:tblW w:w="4845" w:type="pct"/>
        <w:tblLook w:val="04A0" w:firstRow="1" w:lastRow="0" w:firstColumn="1" w:lastColumn="0" w:noHBand="0" w:noVBand="1"/>
      </w:tblPr>
      <w:tblGrid>
        <w:gridCol w:w="2034"/>
        <w:gridCol w:w="6965"/>
      </w:tblGrid>
      <w:tr w:rsidRPr="0079405E" w:rsidR="00DE2D96" w:rsidTr="00A3780E" w14:paraId="518A9EA4" w14:textId="77777777">
        <w:tc>
          <w:tcPr>
            <w:tcW w:w="1130" w:type="pct"/>
          </w:tcPr>
          <w:p w:rsidRPr="0079405E" w:rsidR="00DE2D96" w:rsidP="00BE1F8F" w:rsidRDefault="00DE2D96" w14:paraId="4BD49780" w14:textId="77777777">
            <w:pPr>
              <w:tabs>
                <w:tab w:val="center" w:pos="284"/>
              </w:tabs>
              <w:overflowPunct w:val="0"/>
              <w:autoSpaceDE w:val="0"/>
              <w:autoSpaceDN w:val="0"/>
              <w:adjustRightInd w:val="0"/>
              <w:ind w:left="266" w:hanging="266"/>
              <w:textAlignment w:val="baseline"/>
              <w:rPr>
                <w:b/>
              </w:rPr>
            </w:pPr>
            <w:r w:rsidRPr="0079405E">
              <w:rPr>
                <w:b/>
              </w:rPr>
              <w:t>Rapporteur</w:t>
            </w:r>
          </w:p>
        </w:tc>
        <w:tc>
          <w:tcPr>
            <w:tcW w:w="3870" w:type="pct"/>
          </w:tcPr>
          <w:p w:rsidRPr="0079405E" w:rsidR="00DE2D96" w:rsidP="00BE1F8F" w:rsidRDefault="00366FB1" w14:paraId="35C4E729" w14:textId="0173DE28">
            <w:pPr>
              <w:tabs>
                <w:tab w:val="center" w:pos="284"/>
              </w:tabs>
              <w:overflowPunct w:val="0"/>
              <w:autoSpaceDE w:val="0"/>
              <w:autoSpaceDN w:val="0"/>
              <w:adjustRightInd w:val="0"/>
              <w:ind w:left="266" w:hanging="266"/>
              <w:textAlignment w:val="baseline"/>
            </w:pPr>
            <w:r w:rsidRPr="00366FB1">
              <w:t>Arnold PUECH d'ALISSAC (Employers' Group - FR)</w:t>
            </w:r>
          </w:p>
          <w:p w:rsidRPr="0079405E" w:rsidR="00DE2D96" w:rsidP="00BE1F8F" w:rsidRDefault="00DE2D96" w14:paraId="5DE4EBAE" w14:textId="77777777">
            <w:pPr>
              <w:tabs>
                <w:tab w:val="center" w:pos="284"/>
              </w:tabs>
              <w:overflowPunct w:val="0"/>
              <w:autoSpaceDE w:val="0"/>
              <w:autoSpaceDN w:val="0"/>
              <w:adjustRightInd w:val="0"/>
              <w:ind w:left="266" w:hanging="266"/>
              <w:textAlignment w:val="baseline"/>
            </w:pPr>
            <w:r w:rsidRPr="0079405E">
              <w:t>Piroska KÁLLAY (Workers' Group - HU)</w:t>
            </w:r>
          </w:p>
          <w:p w:rsidRPr="0079405E" w:rsidR="00DE2D96" w:rsidP="00BE1F8F" w:rsidRDefault="00366FB1" w14:paraId="32325F9B" w14:textId="30D7031F">
            <w:pPr>
              <w:tabs>
                <w:tab w:val="center" w:pos="284"/>
              </w:tabs>
              <w:overflowPunct w:val="0"/>
              <w:autoSpaceDE w:val="0"/>
              <w:autoSpaceDN w:val="0"/>
              <w:adjustRightInd w:val="0"/>
              <w:ind w:left="266" w:hanging="266"/>
              <w:textAlignment w:val="baseline"/>
            </w:pPr>
            <w:r w:rsidRPr="0079405E">
              <w:t>Joe HEALY (Civil Society Organisations' Group - IE)</w:t>
            </w:r>
          </w:p>
        </w:tc>
      </w:tr>
      <w:tr w:rsidRPr="0079405E" w:rsidR="00DE2D96" w:rsidTr="00A3780E" w14:paraId="4B6FEDD4" w14:textId="77777777">
        <w:tc>
          <w:tcPr>
            <w:tcW w:w="1130" w:type="pct"/>
          </w:tcPr>
          <w:p w:rsidRPr="0079405E" w:rsidR="00DE2D96" w:rsidP="00BE1F8F" w:rsidRDefault="00DE2D96" w14:paraId="5A19339E" w14:textId="439F828B">
            <w:pPr>
              <w:tabs>
                <w:tab w:val="center" w:pos="284"/>
              </w:tabs>
              <w:overflowPunct w:val="0"/>
              <w:autoSpaceDE w:val="0"/>
              <w:autoSpaceDN w:val="0"/>
              <w:adjustRightInd w:val="0"/>
              <w:ind w:left="266" w:hanging="266"/>
              <w:textAlignment w:val="baseline"/>
              <w:rPr>
                <w:b/>
              </w:rPr>
            </w:pPr>
            <w:r w:rsidRPr="0079405E">
              <w:rPr>
                <w:b/>
              </w:rPr>
              <w:t>Reference</w:t>
            </w:r>
          </w:p>
        </w:tc>
        <w:tc>
          <w:tcPr>
            <w:tcW w:w="3870" w:type="pct"/>
          </w:tcPr>
          <w:p w:rsidRPr="00D03AEC" w:rsidR="00366FB1" w:rsidP="00BE1F8F" w:rsidRDefault="00366FB1" w14:paraId="1D8B27BA" w14:textId="77777777">
            <w:pPr>
              <w:tabs>
                <w:tab w:val="center" w:pos="284"/>
              </w:tabs>
              <w:overflowPunct w:val="0"/>
              <w:autoSpaceDE w:val="0"/>
              <w:autoSpaceDN w:val="0"/>
              <w:adjustRightInd w:val="0"/>
              <w:ind w:left="266" w:right="-387" w:hanging="266"/>
              <w:textAlignment w:val="baseline"/>
              <w:rPr>
                <w:lang w:val="en-GB"/>
              </w:rPr>
            </w:pPr>
            <w:r w:rsidRPr="001C0AB9">
              <w:t>Exploratory opinion</w:t>
            </w:r>
            <w:r w:rsidRPr="009D7E2D">
              <w:rPr>
                <w:lang w:val="en-GB"/>
              </w:rPr>
              <w:t xml:space="preserve"> requested by the Polish Presidency</w:t>
            </w:r>
            <w:r>
              <w:t xml:space="preserve"> </w:t>
            </w:r>
            <w:r w:rsidRPr="00D92715">
              <w:rPr>
                <w:lang w:val="en-GB"/>
              </w:rPr>
              <w:t>of the Council of the EU</w:t>
            </w:r>
          </w:p>
          <w:p w:rsidRPr="0079405E" w:rsidR="00DE2D96" w:rsidP="00BE1F8F" w:rsidRDefault="00DE2D96" w14:paraId="13DE1FA0" w14:textId="22E0B95D">
            <w:pPr>
              <w:tabs>
                <w:tab w:val="center" w:pos="284"/>
              </w:tabs>
              <w:overflowPunct w:val="0"/>
              <w:autoSpaceDE w:val="0"/>
              <w:autoSpaceDN w:val="0"/>
              <w:adjustRightInd w:val="0"/>
              <w:ind w:left="266" w:hanging="266"/>
              <w:textAlignment w:val="baseline"/>
            </w:pPr>
            <w:r w:rsidRPr="0079405E">
              <w:t>EESC-2024-03974-00-00-AC</w:t>
            </w:r>
          </w:p>
        </w:tc>
      </w:tr>
    </w:tbl>
    <w:p w:rsidRPr="00C77862" w:rsidR="00713105" w:rsidP="00BE1F8F" w:rsidRDefault="00713105" w14:paraId="518EA3D3" w14:textId="77777777">
      <w:pPr>
        <w:keepNext/>
        <w:keepLines/>
        <w:tabs>
          <w:tab w:val="center" w:pos="284"/>
        </w:tabs>
        <w:overflowPunct w:val="0"/>
        <w:autoSpaceDE w:val="0"/>
        <w:autoSpaceDN w:val="0"/>
        <w:adjustRightInd w:val="0"/>
        <w:ind w:left="266" w:hanging="266"/>
        <w:textAlignment w:val="baseline"/>
        <w:rPr>
          <w:b/>
          <w:sz w:val="16"/>
          <w:szCs w:val="16"/>
          <w:lang w:val="en-GB"/>
        </w:rPr>
      </w:pPr>
    </w:p>
    <w:p w:rsidRPr="0079405E" w:rsidR="00DE2D96" w:rsidP="00BE1F8F" w:rsidRDefault="00DE2D96" w14:paraId="1B8691C6" w14:textId="595FF6DF">
      <w:pPr>
        <w:keepNext/>
        <w:keepLines/>
        <w:tabs>
          <w:tab w:val="center" w:pos="284"/>
        </w:tabs>
        <w:overflowPunct w:val="0"/>
        <w:autoSpaceDE w:val="0"/>
        <w:autoSpaceDN w:val="0"/>
        <w:adjustRightInd w:val="0"/>
        <w:ind w:left="266" w:hanging="266"/>
        <w:textAlignment w:val="baseline"/>
        <w:rPr>
          <w:b/>
          <w:lang w:val="en-GB"/>
        </w:rPr>
      </w:pPr>
      <w:r w:rsidRPr="0079405E">
        <w:rPr>
          <w:b/>
          <w:lang w:val="en-GB"/>
        </w:rPr>
        <w:t>Key points</w:t>
      </w:r>
    </w:p>
    <w:p w:rsidRPr="0079405E" w:rsidR="00DE2D96" w:rsidP="00BE1F8F" w:rsidRDefault="00DE2D96" w14:paraId="1493200A" w14:textId="77777777">
      <w:pPr>
        <w:keepNext/>
        <w:keepLines/>
        <w:tabs>
          <w:tab w:val="center" w:pos="284"/>
        </w:tabs>
        <w:overflowPunct w:val="0"/>
        <w:autoSpaceDE w:val="0"/>
        <w:autoSpaceDN w:val="0"/>
        <w:adjustRightInd w:val="0"/>
        <w:ind w:left="266" w:hanging="266"/>
        <w:textAlignment w:val="baseline"/>
        <w:rPr>
          <w:b/>
          <w:sz w:val="16"/>
          <w:szCs w:val="16"/>
          <w:lang w:val="en-GB"/>
        </w:rPr>
      </w:pPr>
    </w:p>
    <w:p w:rsidR="00DE2D96" w:rsidP="00BE1F8F" w:rsidRDefault="00DE2D96" w14:paraId="6B40E191" w14:textId="77777777">
      <w:pPr>
        <w:widowControl w:val="0"/>
        <w:overflowPunct w:val="0"/>
        <w:autoSpaceDE w:val="0"/>
        <w:autoSpaceDN w:val="0"/>
        <w:adjustRightInd w:val="0"/>
        <w:textAlignment w:val="baseline"/>
        <w:rPr>
          <w:bCs/>
          <w:iCs/>
          <w:lang w:val="en-GB"/>
        </w:rPr>
      </w:pPr>
      <w:r w:rsidRPr="0079405E">
        <w:rPr>
          <w:bCs/>
          <w:iCs/>
          <w:lang w:val="en-GB"/>
        </w:rPr>
        <w:t>The EESC:</w:t>
      </w:r>
    </w:p>
    <w:p w:rsidRPr="0079405E" w:rsidR="00DE2D96" w:rsidP="00BE1F8F" w:rsidRDefault="00DE2D96" w14:paraId="331A71E3" w14:textId="77777777">
      <w:pPr>
        <w:widowControl w:val="0"/>
        <w:numPr>
          <w:ilvl w:val="0"/>
          <w:numId w:val="35"/>
        </w:numPr>
        <w:overflowPunct w:val="0"/>
        <w:autoSpaceDE w:val="0"/>
        <w:autoSpaceDN w:val="0"/>
        <w:adjustRightInd w:val="0"/>
        <w:ind w:left="284" w:hanging="284"/>
        <w:contextualSpacing/>
        <w:textAlignment w:val="baseline"/>
        <w:rPr>
          <w:bCs/>
          <w:iCs/>
          <w:lang w:val="en-GB" w:eastAsia="zh-CN"/>
        </w:rPr>
      </w:pPr>
      <w:r w:rsidRPr="0079405E">
        <w:rPr>
          <w:bCs/>
          <w:iCs/>
          <w:lang w:val="en-GB" w:eastAsia="zh-CN"/>
        </w:rPr>
        <w:t>suggests developing and implementing short and long-term tools to support farmers’ incomes in times of crisis, within the framework of the CAP and beyond such as:</w:t>
      </w:r>
    </w:p>
    <w:p w:rsidRPr="0079405E" w:rsidR="00DE2D96" w:rsidP="00713105" w:rsidRDefault="00DE2D96" w14:paraId="188FCED5" w14:textId="77777777">
      <w:pPr>
        <w:widowControl w:val="0"/>
        <w:numPr>
          <w:ilvl w:val="1"/>
          <w:numId w:val="36"/>
        </w:numPr>
        <w:overflowPunct w:val="0"/>
        <w:autoSpaceDE w:val="0"/>
        <w:autoSpaceDN w:val="0"/>
        <w:adjustRightInd w:val="0"/>
        <w:ind w:left="567" w:hanging="567"/>
        <w:contextualSpacing/>
        <w:textAlignment w:val="baseline"/>
        <w:rPr>
          <w:bCs/>
          <w:iCs/>
          <w:lang w:val="en-GB" w:eastAsia="zh-CN"/>
        </w:rPr>
      </w:pPr>
      <w:r w:rsidRPr="0079405E">
        <w:rPr>
          <w:b/>
          <w:iCs/>
          <w:lang w:val="en-GB" w:eastAsia="zh-CN"/>
        </w:rPr>
        <w:t>insurance schemes against climatic and environmental disaster:</w:t>
      </w:r>
      <w:r w:rsidRPr="0079405E">
        <w:rPr>
          <w:bCs/>
          <w:iCs/>
          <w:lang w:val="en-GB" w:eastAsia="zh-CN"/>
        </w:rPr>
        <w:t xml:space="preserve"> work on public-private partnership assurances model and review the calculation of yield references; </w:t>
      </w:r>
    </w:p>
    <w:p w:rsidRPr="0079405E" w:rsidR="00DE2D96" w:rsidP="00713105" w:rsidRDefault="00DE2D96" w14:paraId="5FFE9226" w14:textId="77777777">
      <w:pPr>
        <w:widowControl w:val="0"/>
        <w:numPr>
          <w:ilvl w:val="1"/>
          <w:numId w:val="36"/>
        </w:numPr>
        <w:overflowPunct w:val="0"/>
        <w:autoSpaceDE w:val="0"/>
        <w:autoSpaceDN w:val="0"/>
        <w:adjustRightInd w:val="0"/>
        <w:ind w:left="567" w:hanging="567"/>
        <w:contextualSpacing/>
        <w:textAlignment w:val="baseline"/>
        <w:rPr>
          <w:bCs/>
          <w:iCs/>
          <w:lang w:val="en-GB" w:eastAsia="zh-CN"/>
        </w:rPr>
      </w:pPr>
      <w:r w:rsidRPr="0079405E">
        <w:rPr>
          <w:b/>
          <w:bCs/>
          <w:lang w:val="en-GB" w:eastAsia="zh-CN"/>
        </w:rPr>
        <w:t>insurance schemes against market tensions:</w:t>
      </w:r>
      <w:r w:rsidRPr="0079405E">
        <w:rPr>
          <w:bCs/>
          <w:iCs/>
          <w:lang w:val="en-GB" w:eastAsia="zh-CN"/>
        </w:rPr>
        <w:t xml:space="preserve"> examine the development of innovative levers, such as a parametric insurance, and include counter-cyclical elements in the CAP instruments after 2027 to react to pressure from the markets;</w:t>
      </w:r>
    </w:p>
    <w:p w:rsidRPr="0079405E" w:rsidR="00DE2D96" w:rsidP="00713105" w:rsidRDefault="00DE2D96" w14:paraId="4439B4AA" w14:textId="77777777">
      <w:pPr>
        <w:widowControl w:val="0"/>
        <w:numPr>
          <w:ilvl w:val="1"/>
          <w:numId w:val="36"/>
        </w:numPr>
        <w:overflowPunct w:val="0"/>
        <w:autoSpaceDE w:val="0"/>
        <w:autoSpaceDN w:val="0"/>
        <w:adjustRightInd w:val="0"/>
        <w:ind w:left="567" w:hanging="567"/>
        <w:contextualSpacing/>
        <w:textAlignment w:val="baseline"/>
        <w:rPr>
          <w:bCs/>
          <w:iCs/>
          <w:lang w:val="en-GB" w:eastAsia="zh-CN"/>
        </w:rPr>
      </w:pPr>
      <w:r w:rsidRPr="0079405E">
        <w:rPr>
          <w:b/>
          <w:iCs/>
          <w:lang w:val="en-GB" w:eastAsia="zh-CN"/>
        </w:rPr>
        <w:t>risk and crisis management tools:</w:t>
      </w:r>
      <w:r w:rsidRPr="0079405E">
        <w:rPr>
          <w:bCs/>
          <w:iCs/>
          <w:lang w:val="en-GB" w:eastAsia="zh-CN"/>
        </w:rPr>
        <w:t xml:space="preserve"> restore the CAP budget to a level of 0.5% of EU GDP in the next multiannual financial framework (MFF); improve and promote at Member State (MS) level the utilisation of the 3% from direct payments as farmer's contributions to the risk management instrument; recast and increase significatively the agricultural crisis reserve at EU level; develop mutual funds at MS level </w:t>
      </w:r>
      <w:r w:rsidRPr="0079405E">
        <w:rPr>
          <w:lang w:val="en-GB" w:eastAsia="zh-CN"/>
        </w:rPr>
        <w:t>for health and environmental risks;</w:t>
      </w:r>
    </w:p>
    <w:p w:rsidRPr="0079405E" w:rsidR="00DE2D96" w:rsidP="00713105" w:rsidRDefault="00DE2D96" w14:paraId="74D4B712" w14:textId="77777777">
      <w:pPr>
        <w:widowControl w:val="0"/>
        <w:numPr>
          <w:ilvl w:val="1"/>
          <w:numId w:val="36"/>
        </w:numPr>
        <w:overflowPunct w:val="0"/>
        <w:autoSpaceDE w:val="0"/>
        <w:autoSpaceDN w:val="0"/>
        <w:adjustRightInd w:val="0"/>
        <w:ind w:left="567" w:hanging="567"/>
        <w:contextualSpacing/>
        <w:textAlignment w:val="baseline"/>
        <w:rPr>
          <w:b/>
          <w:bCs/>
          <w:lang w:val="en-GB" w:eastAsia="zh-CN"/>
        </w:rPr>
      </w:pPr>
      <w:r w:rsidRPr="0079405E">
        <w:rPr>
          <w:b/>
          <w:bCs/>
          <w:lang w:val="en-GB" w:eastAsia="zh-CN"/>
        </w:rPr>
        <w:t>financial tools provided by CAP and banks:</w:t>
      </w:r>
      <w:r w:rsidRPr="0079405E">
        <w:rPr>
          <w:bCs/>
          <w:iCs/>
          <w:lang w:val="en-GB" w:eastAsia="zh-CN"/>
        </w:rPr>
        <w:t xml:space="preserve"> support farmers’ investment capacity, in particular for young farmers, with simple, non‑bureaucratic financial instruments, such as financial products offered by banks (pilot loans, zero-interest loans, agricultural installation loans) but also others;</w:t>
      </w:r>
    </w:p>
    <w:p w:rsidRPr="0079405E" w:rsidR="00DE2D96" w:rsidP="00713105" w:rsidRDefault="00DE2D96" w14:paraId="1F801B29" w14:textId="77777777">
      <w:pPr>
        <w:widowControl w:val="0"/>
        <w:numPr>
          <w:ilvl w:val="1"/>
          <w:numId w:val="36"/>
        </w:numPr>
        <w:overflowPunct w:val="0"/>
        <w:autoSpaceDE w:val="0"/>
        <w:autoSpaceDN w:val="0"/>
        <w:adjustRightInd w:val="0"/>
        <w:ind w:left="567" w:hanging="567"/>
        <w:contextualSpacing/>
        <w:textAlignment w:val="baseline"/>
        <w:rPr>
          <w:bCs/>
          <w:iCs/>
          <w:lang w:val="en-GB" w:eastAsia="zh-CN"/>
        </w:rPr>
      </w:pPr>
      <w:r w:rsidRPr="0079405E">
        <w:rPr>
          <w:b/>
          <w:bCs/>
          <w:lang w:val="en-GB" w:eastAsia="zh-CN"/>
        </w:rPr>
        <w:t>tools for securing farmers’ income and improving their bargaining power:</w:t>
      </w:r>
      <w:r w:rsidRPr="0079405E">
        <w:rPr>
          <w:bCs/>
          <w:iCs/>
          <w:lang w:val="en-GB" w:eastAsia="zh-CN"/>
        </w:rPr>
        <w:t xml:space="preserve"> consider extending the Directive on Unfair Trade Practices (UTP) to ban below-cost selling by purchasers, after carefully studying the effects on all food chain operators;</w:t>
      </w:r>
      <w:r w:rsidRPr="0079405E">
        <w:rPr>
          <w:b/>
          <w:bCs/>
          <w:lang w:val="en-GB" w:eastAsia="zh-CN"/>
        </w:rPr>
        <w:t xml:space="preserve"> </w:t>
      </w:r>
      <w:r w:rsidRPr="0079405E">
        <w:rPr>
          <w:bCs/>
          <w:iCs/>
          <w:lang w:val="en-GB" w:eastAsia="zh-CN"/>
        </w:rPr>
        <w:t>provide a new EU policy to enable farmers to collectively negotiate prices and increase the support for cooperatives and producer organisations; protect, enhance and better target direct payments at active farmers in the next CAP; a sustainability contribution for the transition; . ensure carbon-efficient food production systems; ensure equivalence of standards in all trade deals;</w:t>
      </w:r>
    </w:p>
    <w:p w:rsidRPr="0079405E" w:rsidR="00366FB1" w:rsidP="00713105" w:rsidRDefault="00DE2D96" w14:paraId="496376A0" w14:textId="5E51B798">
      <w:pPr>
        <w:widowControl w:val="0"/>
        <w:numPr>
          <w:ilvl w:val="0"/>
          <w:numId w:val="35"/>
        </w:numPr>
        <w:overflowPunct w:val="0"/>
        <w:autoSpaceDE w:val="0"/>
        <w:autoSpaceDN w:val="0"/>
        <w:adjustRightInd w:val="0"/>
        <w:ind w:left="567" w:hanging="567"/>
        <w:contextualSpacing/>
        <w:textAlignment w:val="baseline"/>
        <w:rPr>
          <w:bCs/>
          <w:iCs/>
          <w:lang w:val="en-GB" w:eastAsia="zh-CN"/>
        </w:rPr>
      </w:pPr>
      <w:r w:rsidRPr="00C43D3E">
        <w:rPr>
          <w:bCs/>
          <w:iCs/>
          <w:lang w:val="en-GB" w:eastAsia="zh-CN"/>
        </w:rPr>
        <w:t>recommends</w:t>
      </w:r>
      <w:r w:rsidRPr="0079405E">
        <w:rPr>
          <w:lang w:val="en-GB" w:eastAsia="zh-CN"/>
        </w:rPr>
        <w:t xml:space="preserve"> to further promote sector-specific participatory governance and strengthen social </w:t>
      </w:r>
      <w:r w:rsidRPr="00C43D3E">
        <w:rPr>
          <w:bCs/>
          <w:iCs/>
          <w:lang w:val="en-GB" w:eastAsia="zh-CN"/>
        </w:rPr>
        <w:t>dialogue</w:t>
      </w:r>
      <w:r w:rsidRPr="0079405E">
        <w:rPr>
          <w:lang w:val="en-GB" w:eastAsia="zh-CN"/>
        </w:rPr>
        <w:t xml:space="preserve"> in the agri-food sector;</w:t>
      </w:r>
    </w:p>
    <w:p w:rsidRPr="0079405E" w:rsidR="00DE2D96" w:rsidP="00713105" w:rsidRDefault="00DE2D96" w14:paraId="35CC080A" w14:textId="77777777">
      <w:pPr>
        <w:widowControl w:val="0"/>
        <w:numPr>
          <w:ilvl w:val="0"/>
          <w:numId w:val="35"/>
        </w:numPr>
        <w:overflowPunct w:val="0"/>
        <w:autoSpaceDE w:val="0"/>
        <w:autoSpaceDN w:val="0"/>
        <w:adjustRightInd w:val="0"/>
        <w:ind w:left="567" w:hanging="567"/>
        <w:contextualSpacing/>
        <w:textAlignment w:val="baseline"/>
        <w:rPr>
          <w:bCs/>
          <w:iCs/>
          <w:lang w:val="en-GB" w:eastAsia="zh-CN"/>
        </w:rPr>
      </w:pPr>
      <w:r w:rsidRPr="0079405E">
        <w:rPr>
          <w:bCs/>
          <w:iCs/>
          <w:lang w:val="en-GB" w:eastAsia="zh-CN"/>
        </w:rPr>
        <w:t>points out the need for high-quality agricultural research and investments in education;</w:t>
      </w:r>
    </w:p>
    <w:p w:rsidRPr="0079405E" w:rsidR="00DE2D96" w:rsidP="00713105" w:rsidRDefault="00DE2D96" w14:paraId="6F5D47EA" w14:textId="77777777">
      <w:pPr>
        <w:widowControl w:val="0"/>
        <w:numPr>
          <w:ilvl w:val="0"/>
          <w:numId w:val="35"/>
        </w:numPr>
        <w:overflowPunct w:val="0"/>
        <w:autoSpaceDE w:val="0"/>
        <w:autoSpaceDN w:val="0"/>
        <w:adjustRightInd w:val="0"/>
        <w:ind w:left="567" w:hanging="567"/>
        <w:contextualSpacing/>
        <w:textAlignment w:val="baseline"/>
        <w:rPr>
          <w:bCs/>
          <w:iCs/>
          <w:lang w:val="en-GB" w:eastAsia="zh-CN"/>
        </w:rPr>
      </w:pPr>
      <w:r w:rsidRPr="0079405E">
        <w:rPr>
          <w:bCs/>
          <w:iCs/>
          <w:lang w:val="en-GB" w:eastAsia="zh-CN"/>
        </w:rPr>
        <w:t>highlights the importance to maintain vibrant agricultural production across Europe and points out that it is important that rural development remains a strong objective in the Common Agricultural Policy and that sufficient funding is allocated to it.</w:t>
      </w:r>
    </w:p>
    <w:p w:rsidRPr="0079405E" w:rsidR="002A61F5" w:rsidP="00BE1F8F" w:rsidRDefault="002A61F5" w14:paraId="3C8AA267" w14:textId="77777777">
      <w:pPr>
        <w:widowControl w:val="0"/>
        <w:overflowPunct w:val="0"/>
        <w:autoSpaceDE w:val="0"/>
        <w:autoSpaceDN w:val="0"/>
        <w:adjustRightInd w:val="0"/>
        <w:ind w:left="709" w:hanging="425"/>
        <w:textAlignment w:val="baseline"/>
        <w:rPr>
          <w:sz w:val="16"/>
          <w:szCs w:val="16"/>
          <w:lang w:val="en-GB"/>
        </w:rPr>
      </w:pPr>
    </w:p>
    <w:tbl>
      <w:tblPr>
        <w:tblW w:w="4942" w:type="pct"/>
        <w:tblLook w:val="04A0" w:firstRow="1" w:lastRow="0" w:firstColumn="1" w:lastColumn="0" w:noHBand="0" w:noVBand="1"/>
      </w:tblPr>
      <w:tblGrid>
        <w:gridCol w:w="2032"/>
        <w:gridCol w:w="7147"/>
      </w:tblGrid>
      <w:tr w:rsidRPr="0079405E" w:rsidR="00DE2D96" w:rsidTr="00713105" w14:paraId="0E76CB38" w14:textId="77777777">
        <w:tc>
          <w:tcPr>
            <w:tcW w:w="1107" w:type="pct"/>
          </w:tcPr>
          <w:p w:rsidRPr="0079405E" w:rsidR="00DE2D96" w:rsidP="00BE1F8F" w:rsidRDefault="00DE2D96" w14:paraId="6151DC79" w14:textId="77777777">
            <w:pPr>
              <w:overflowPunct w:val="0"/>
              <w:autoSpaceDE w:val="0"/>
              <w:autoSpaceDN w:val="0"/>
              <w:adjustRightInd w:val="0"/>
              <w:textAlignment w:val="baseline"/>
              <w:rPr>
                <w:i/>
              </w:rPr>
            </w:pPr>
            <w:r w:rsidRPr="0079405E">
              <w:rPr>
                <w:b/>
                <w:i/>
              </w:rPr>
              <w:t>Contact</w:t>
            </w:r>
          </w:p>
        </w:tc>
        <w:tc>
          <w:tcPr>
            <w:tcW w:w="3893" w:type="pct"/>
          </w:tcPr>
          <w:p w:rsidRPr="0079405E" w:rsidR="00DE2D96" w:rsidP="00BE1F8F" w:rsidRDefault="00DE2D96" w14:paraId="1C83FC67" w14:textId="58C849C6">
            <w:pPr>
              <w:overflowPunct w:val="0"/>
              <w:autoSpaceDE w:val="0"/>
              <w:autoSpaceDN w:val="0"/>
              <w:adjustRightInd w:val="0"/>
              <w:textAlignment w:val="baseline"/>
              <w:rPr>
                <w:i/>
              </w:rPr>
            </w:pPr>
            <w:r w:rsidRPr="0079405E">
              <w:rPr>
                <w:i/>
              </w:rPr>
              <w:t>Myrto K</w:t>
            </w:r>
            <w:r w:rsidRPr="0079405E" w:rsidR="00366FB1">
              <w:rPr>
                <w:i/>
              </w:rPr>
              <w:t>olyva</w:t>
            </w:r>
          </w:p>
        </w:tc>
      </w:tr>
      <w:tr w:rsidRPr="0079405E" w:rsidR="00DE2D96" w:rsidTr="00713105" w14:paraId="188EFACC" w14:textId="77777777">
        <w:tc>
          <w:tcPr>
            <w:tcW w:w="1107" w:type="pct"/>
          </w:tcPr>
          <w:p w:rsidRPr="0079405E" w:rsidR="00DE2D96" w:rsidP="00BE1F8F" w:rsidRDefault="00DE2D96" w14:paraId="7E5EE7F9" w14:textId="77777777">
            <w:pPr>
              <w:overflowPunct w:val="0"/>
              <w:autoSpaceDE w:val="0"/>
              <w:autoSpaceDN w:val="0"/>
              <w:adjustRightInd w:val="0"/>
              <w:textAlignment w:val="baseline"/>
              <w:rPr>
                <w:i/>
              </w:rPr>
            </w:pPr>
            <w:r w:rsidRPr="0079405E">
              <w:rPr>
                <w:i/>
              </w:rPr>
              <w:t>Tel.</w:t>
            </w:r>
          </w:p>
        </w:tc>
        <w:tc>
          <w:tcPr>
            <w:tcW w:w="3893" w:type="pct"/>
          </w:tcPr>
          <w:p w:rsidRPr="0079405E" w:rsidR="00DE2D96" w:rsidP="00BE1F8F" w:rsidRDefault="00DE2D96" w14:paraId="19F64A59" w14:textId="77777777">
            <w:pPr>
              <w:overflowPunct w:val="0"/>
              <w:autoSpaceDE w:val="0"/>
              <w:autoSpaceDN w:val="0"/>
              <w:adjustRightInd w:val="0"/>
              <w:textAlignment w:val="baseline"/>
              <w:rPr>
                <w:i/>
              </w:rPr>
            </w:pPr>
            <w:r w:rsidRPr="0079405E">
              <w:rPr>
                <w:i/>
              </w:rPr>
              <w:t>+32 25468718</w:t>
            </w:r>
          </w:p>
        </w:tc>
      </w:tr>
      <w:tr w:rsidRPr="0079405E" w:rsidR="00DE2D96" w:rsidTr="00713105" w14:paraId="1C6D3733" w14:textId="77777777">
        <w:tc>
          <w:tcPr>
            <w:tcW w:w="1107" w:type="pct"/>
          </w:tcPr>
          <w:p w:rsidRPr="0079405E" w:rsidR="00DE2D96" w:rsidP="00BE1F8F" w:rsidRDefault="00DE2D96" w14:paraId="40381C02" w14:textId="77777777">
            <w:pPr>
              <w:overflowPunct w:val="0"/>
              <w:autoSpaceDE w:val="0"/>
              <w:autoSpaceDN w:val="0"/>
              <w:adjustRightInd w:val="0"/>
              <w:textAlignment w:val="baseline"/>
              <w:rPr>
                <w:i/>
              </w:rPr>
            </w:pPr>
            <w:r w:rsidRPr="0079405E">
              <w:rPr>
                <w:i/>
              </w:rPr>
              <w:t>Email</w:t>
            </w:r>
          </w:p>
        </w:tc>
        <w:tc>
          <w:tcPr>
            <w:tcW w:w="3893" w:type="pct"/>
          </w:tcPr>
          <w:p w:rsidRPr="0079405E" w:rsidR="00DE2D96" w:rsidP="00BE1F8F" w:rsidRDefault="002C4029" w14:paraId="43973F89" w14:textId="77E8A581">
            <w:pPr>
              <w:overflowPunct w:val="0"/>
              <w:autoSpaceDE w:val="0"/>
              <w:autoSpaceDN w:val="0"/>
              <w:adjustRightInd w:val="0"/>
              <w:textAlignment w:val="baseline"/>
              <w:rPr>
                <w:color w:val="0000FF"/>
                <w:u w:val="single"/>
                <w:lang w:val="en-GB"/>
              </w:rPr>
            </w:pPr>
            <w:hyperlink w:history="1" r:id="rId54">
              <w:r w:rsidRPr="0079405E" w:rsidR="00DE2D96">
                <w:rPr>
                  <w:i/>
                  <w:color w:val="0000FF"/>
                  <w:u w:val="single"/>
                </w:rPr>
                <w:t>Myrto.Kolyva@eesc.europa.eu</w:t>
              </w:r>
            </w:hyperlink>
          </w:p>
        </w:tc>
      </w:tr>
    </w:tbl>
    <w:p w:rsidRPr="00C77862" w:rsidR="00366FB1" w:rsidP="00BE1F8F" w:rsidRDefault="00366FB1" w14:paraId="1FDF3A66" w14:textId="77777777">
      <w:pPr>
        <w:jc w:val="left"/>
        <w:rPr>
          <w:sz w:val="12"/>
          <w:szCs w:val="12"/>
          <w:lang w:val="en-GB"/>
        </w:rPr>
      </w:pPr>
      <w:r>
        <w:rPr>
          <w:lang w:val="en-GB"/>
        </w:rPr>
        <w:br w:type="page"/>
      </w:r>
    </w:p>
    <w:p w:rsidR="007F5784" w:rsidP="00C77862" w:rsidRDefault="00EE5F16" w14:paraId="14026A78" w14:textId="0BB4DE42">
      <w:pPr>
        <w:pStyle w:val="Heading1"/>
        <w:keepNext/>
        <w:keepLines/>
        <w:spacing w:line="240" w:lineRule="auto"/>
        <w:rPr>
          <w:b/>
        </w:rPr>
      </w:pPr>
      <w:bookmarkStart w:name="_Toc192668671" w:id="27"/>
      <w:r w:rsidRPr="00EE5F16">
        <w:rPr>
          <w:b/>
        </w:rPr>
        <w:t>CONSULTATIVE COMMISSION ON INDUSTRIAL CHANGE</w:t>
      </w:r>
      <w:bookmarkEnd w:id="27"/>
    </w:p>
    <w:p w:rsidR="003F4AD5" w:rsidP="00C77862" w:rsidRDefault="003F4AD5" w14:paraId="7C8ED9AD" w14:textId="77777777">
      <w:pPr>
        <w:spacing w:line="240" w:lineRule="auto"/>
      </w:pPr>
    </w:p>
    <w:p w:rsidRPr="00623E9E" w:rsidR="00623E9E" w:rsidP="00C77862" w:rsidRDefault="002C4029" w14:paraId="7953BEAF" w14:textId="2D580F8B">
      <w:pPr>
        <w:widowControl w:val="0"/>
        <w:numPr>
          <w:ilvl w:val="0"/>
          <w:numId w:val="2"/>
        </w:numPr>
        <w:overflowPunct w:val="0"/>
        <w:autoSpaceDE w:val="0"/>
        <w:autoSpaceDN w:val="0"/>
        <w:adjustRightInd w:val="0"/>
        <w:spacing w:line="240" w:lineRule="auto"/>
        <w:ind w:hanging="567"/>
        <w:textAlignment w:val="baseline"/>
        <w:rPr>
          <w:b/>
          <w:lang w:val="en-GB"/>
        </w:rPr>
      </w:pPr>
      <w:hyperlink w:history="1" r:id="rId55">
        <w:r w:rsidRPr="00623E9E" w:rsidR="00623E9E">
          <w:rPr>
            <w:b/>
            <w:i/>
            <w:color w:val="0000FF"/>
            <w:sz w:val="28"/>
            <w:szCs w:val="20"/>
            <w:u w:val="single"/>
            <w:shd w:val="clear" w:color="auto" w:fill="FEFEFE"/>
            <w:lang w:val="en-GB"/>
          </w:rPr>
          <w:t>The contribution of the robotics metaverse in the medical sector</w:t>
        </w:r>
      </w:hyperlink>
    </w:p>
    <w:p w:rsidRPr="00623E9E" w:rsidR="00623E9E" w:rsidP="00C77862" w:rsidRDefault="00623E9E" w14:paraId="1CC73896" w14:textId="77777777">
      <w:pPr>
        <w:widowControl w:val="0"/>
        <w:overflowPunct w:val="0"/>
        <w:autoSpaceDE w:val="0"/>
        <w:autoSpaceDN w:val="0"/>
        <w:adjustRightInd w:val="0"/>
        <w:spacing w:line="240" w:lineRule="auto"/>
        <w:ind w:left="266"/>
        <w:textAlignment w:val="baseline"/>
        <w:rPr>
          <w:b/>
          <w:lang w:val="en-GB"/>
        </w:rPr>
      </w:pPr>
    </w:p>
    <w:tbl>
      <w:tblPr>
        <w:tblW w:w="0" w:type="auto"/>
        <w:tblLook w:val="04A0" w:firstRow="1" w:lastRow="0" w:firstColumn="1" w:lastColumn="0" w:noHBand="0" w:noVBand="1"/>
      </w:tblPr>
      <w:tblGrid>
        <w:gridCol w:w="1701"/>
        <w:gridCol w:w="7479"/>
      </w:tblGrid>
      <w:tr w:rsidRPr="00623E9E" w:rsidR="00623E9E" w:rsidTr="00A3780E" w14:paraId="269248EA" w14:textId="77777777">
        <w:tc>
          <w:tcPr>
            <w:tcW w:w="1701" w:type="dxa"/>
          </w:tcPr>
          <w:p w:rsidRPr="00623E9E" w:rsidR="00623E9E" w:rsidP="00BE1F8F" w:rsidRDefault="00623E9E" w14:paraId="21D29375" w14:textId="77777777">
            <w:pPr>
              <w:tabs>
                <w:tab w:val="center" w:pos="284"/>
              </w:tabs>
              <w:overflowPunct w:val="0"/>
              <w:autoSpaceDE w:val="0"/>
              <w:autoSpaceDN w:val="0"/>
              <w:adjustRightInd w:val="0"/>
              <w:ind w:left="266" w:hanging="266"/>
              <w:textAlignment w:val="baseline"/>
              <w:rPr>
                <w:b/>
              </w:rPr>
            </w:pPr>
            <w:r w:rsidRPr="00623E9E">
              <w:rPr>
                <w:b/>
              </w:rPr>
              <w:t>Rapporteur</w:t>
            </w:r>
          </w:p>
        </w:tc>
        <w:tc>
          <w:tcPr>
            <w:tcW w:w="7479" w:type="dxa"/>
          </w:tcPr>
          <w:p w:rsidRPr="00623E9E" w:rsidR="00623E9E" w:rsidP="00BE1F8F" w:rsidRDefault="00623E9E" w14:paraId="266FB57D" w14:textId="2659163F">
            <w:pPr>
              <w:tabs>
                <w:tab w:val="center" w:pos="284"/>
              </w:tabs>
              <w:overflowPunct w:val="0"/>
              <w:autoSpaceDE w:val="0"/>
              <w:autoSpaceDN w:val="0"/>
              <w:adjustRightInd w:val="0"/>
              <w:ind w:left="266" w:hanging="266"/>
              <w:textAlignment w:val="baseline"/>
            </w:pPr>
            <w:r w:rsidRPr="00623E9E">
              <w:t xml:space="preserve">Martin BÖHME (Civil Society Organisations’ Group </w:t>
            </w:r>
            <w:r w:rsidR="004F23ED">
              <w:t xml:space="preserve">- </w:t>
            </w:r>
            <w:r w:rsidRPr="00623E9E">
              <w:t>DE)</w:t>
            </w:r>
          </w:p>
        </w:tc>
      </w:tr>
      <w:tr w:rsidRPr="00623E9E" w:rsidR="00623E9E" w:rsidTr="00A3780E" w14:paraId="361B26C2" w14:textId="77777777">
        <w:tc>
          <w:tcPr>
            <w:tcW w:w="1701" w:type="dxa"/>
          </w:tcPr>
          <w:p w:rsidRPr="00623E9E" w:rsidR="00623E9E" w:rsidP="00BE1F8F" w:rsidRDefault="00623E9E" w14:paraId="5503FDF1" w14:textId="77777777">
            <w:pPr>
              <w:tabs>
                <w:tab w:val="center" w:pos="284"/>
              </w:tabs>
              <w:overflowPunct w:val="0"/>
              <w:autoSpaceDE w:val="0"/>
              <w:autoSpaceDN w:val="0"/>
              <w:adjustRightInd w:val="0"/>
              <w:ind w:left="266" w:hanging="266"/>
              <w:textAlignment w:val="baseline"/>
              <w:rPr>
                <w:b/>
              </w:rPr>
            </w:pPr>
            <w:r w:rsidRPr="00623E9E">
              <w:rPr>
                <w:b/>
              </w:rPr>
              <w:t>Co-rapporteur</w:t>
            </w:r>
          </w:p>
        </w:tc>
        <w:tc>
          <w:tcPr>
            <w:tcW w:w="7479" w:type="dxa"/>
          </w:tcPr>
          <w:p w:rsidRPr="00623E9E" w:rsidR="00623E9E" w:rsidP="00BE1F8F" w:rsidRDefault="00623E9E" w14:paraId="1531E497" w14:textId="0BE0FF95">
            <w:pPr>
              <w:tabs>
                <w:tab w:val="center" w:pos="284"/>
              </w:tabs>
              <w:overflowPunct w:val="0"/>
              <w:autoSpaceDE w:val="0"/>
              <w:autoSpaceDN w:val="0"/>
              <w:adjustRightInd w:val="0"/>
              <w:ind w:left="266" w:hanging="266"/>
              <w:textAlignment w:val="baseline"/>
            </w:pPr>
            <w:r w:rsidRPr="00623E9E">
              <w:t>Hervé JEANNIN (</w:t>
            </w:r>
            <w:r w:rsidR="004F23ED">
              <w:t>C</w:t>
            </w:r>
            <w:r w:rsidRPr="00623E9E">
              <w:t xml:space="preserve">ategory 2 </w:t>
            </w:r>
            <w:r w:rsidR="004F23ED">
              <w:t xml:space="preserve">- </w:t>
            </w:r>
            <w:r w:rsidRPr="00623E9E">
              <w:t>FR)</w:t>
            </w:r>
          </w:p>
        </w:tc>
      </w:tr>
      <w:tr w:rsidRPr="00623E9E" w:rsidR="00623E9E" w:rsidTr="00A3780E" w14:paraId="74813AA8" w14:textId="77777777">
        <w:tc>
          <w:tcPr>
            <w:tcW w:w="1701" w:type="dxa"/>
          </w:tcPr>
          <w:p w:rsidRPr="00623E9E" w:rsidR="00623E9E" w:rsidP="00BE1F8F" w:rsidRDefault="00623E9E" w14:paraId="1103D901" w14:textId="719ACEE8">
            <w:pPr>
              <w:tabs>
                <w:tab w:val="center" w:pos="284"/>
              </w:tabs>
              <w:overflowPunct w:val="0"/>
              <w:autoSpaceDE w:val="0"/>
              <w:autoSpaceDN w:val="0"/>
              <w:adjustRightInd w:val="0"/>
              <w:ind w:left="266" w:hanging="266"/>
              <w:textAlignment w:val="baseline"/>
              <w:rPr>
                <w:b/>
              </w:rPr>
            </w:pPr>
            <w:r w:rsidRPr="00623E9E">
              <w:rPr>
                <w:b/>
              </w:rPr>
              <w:t>Reference</w:t>
            </w:r>
          </w:p>
        </w:tc>
        <w:tc>
          <w:tcPr>
            <w:tcW w:w="7479" w:type="dxa"/>
          </w:tcPr>
          <w:p w:rsidR="004F23ED" w:rsidP="00BE1F8F" w:rsidRDefault="004F23ED" w14:paraId="2AEBD737" w14:textId="4C750945">
            <w:pPr>
              <w:tabs>
                <w:tab w:val="center" w:pos="284"/>
              </w:tabs>
              <w:overflowPunct w:val="0"/>
              <w:autoSpaceDE w:val="0"/>
              <w:autoSpaceDN w:val="0"/>
              <w:adjustRightInd w:val="0"/>
              <w:ind w:left="266" w:hanging="266"/>
              <w:textAlignment w:val="baseline"/>
            </w:pPr>
            <w:r>
              <w:t>Own-initiative opinion</w:t>
            </w:r>
          </w:p>
          <w:p w:rsidRPr="00623E9E" w:rsidR="00623E9E" w:rsidP="00BE1F8F" w:rsidRDefault="00623E9E" w14:paraId="5BA8C458" w14:textId="5B035BF6">
            <w:pPr>
              <w:tabs>
                <w:tab w:val="center" w:pos="284"/>
              </w:tabs>
              <w:overflowPunct w:val="0"/>
              <w:autoSpaceDE w:val="0"/>
              <w:autoSpaceDN w:val="0"/>
              <w:adjustRightInd w:val="0"/>
              <w:ind w:left="266" w:hanging="266"/>
              <w:textAlignment w:val="baseline"/>
            </w:pPr>
            <w:r w:rsidRPr="00623E9E">
              <w:t>EESC-2024-02859-00-00-AC-TRA</w:t>
            </w:r>
          </w:p>
        </w:tc>
      </w:tr>
    </w:tbl>
    <w:p w:rsidR="009B596B" w:rsidP="00BE1F8F" w:rsidRDefault="009B596B" w14:paraId="7BB8F2C0" w14:textId="77777777">
      <w:pPr>
        <w:keepNext/>
        <w:keepLines/>
        <w:tabs>
          <w:tab w:val="center" w:pos="284"/>
        </w:tabs>
        <w:overflowPunct w:val="0"/>
        <w:autoSpaceDE w:val="0"/>
        <w:autoSpaceDN w:val="0"/>
        <w:adjustRightInd w:val="0"/>
        <w:ind w:left="266" w:hanging="266"/>
        <w:textAlignment w:val="baseline"/>
        <w:rPr>
          <w:b/>
          <w:szCs w:val="20"/>
          <w:lang w:val="en-GB"/>
        </w:rPr>
      </w:pPr>
    </w:p>
    <w:p w:rsidRPr="00623E9E" w:rsidR="00623E9E" w:rsidP="00BE1F8F" w:rsidRDefault="00623E9E" w14:paraId="30B2B833" w14:textId="33B9D8A5">
      <w:pPr>
        <w:keepNext/>
        <w:keepLines/>
        <w:tabs>
          <w:tab w:val="center" w:pos="284"/>
        </w:tabs>
        <w:overflowPunct w:val="0"/>
        <w:autoSpaceDE w:val="0"/>
        <w:autoSpaceDN w:val="0"/>
        <w:adjustRightInd w:val="0"/>
        <w:ind w:left="266" w:hanging="266"/>
        <w:textAlignment w:val="baseline"/>
        <w:rPr>
          <w:b/>
          <w:lang w:val="en-GB"/>
        </w:rPr>
      </w:pPr>
      <w:r w:rsidRPr="00623E9E">
        <w:rPr>
          <w:b/>
          <w:szCs w:val="20"/>
          <w:lang w:val="en-GB"/>
        </w:rPr>
        <w:t>Key points</w:t>
      </w:r>
    </w:p>
    <w:p w:rsidRPr="00623E9E" w:rsidR="00623E9E" w:rsidP="00BE1F8F" w:rsidRDefault="00623E9E" w14:paraId="53513792" w14:textId="77777777">
      <w:pPr>
        <w:keepNext/>
        <w:keepLines/>
        <w:tabs>
          <w:tab w:val="center" w:pos="284"/>
        </w:tabs>
        <w:overflowPunct w:val="0"/>
        <w:autoSpaceDE w:val="0"/>
        <w:autoSpaceDN w:val="0"/>
        <w:adjustRightInd w:val="0"/>
        <w:ind w:left="266" w:hanging="266"/>
        <w:textAlignment w:val="baseline"/>
        <w:rPr>
          <w:b/>
          <w:lang w:val="en-GB"/>
        </w:rPr>
      </w:pPr>
    </w:p>
    <w:p w:rsidRPr="00623E9E" w:rsidR="00623E9E" w:rsidP="00BE1F8F" w:rsidRDefault="00623E9E" w14:paraId="6DCDBAF9" w14:textId="77777777">
      <w:pPr>
        <w:overflowPunct w:val="0"/>
        <w:autoSpaceDE w:val="0"/>
        <w:autoSpaceDN w:val="0"/>
        <w:adjustRightInd w:val="0"/>
        <w:textAlignment w:val="baseline"/>
        <w:rPr>
          <w:szCs w:val="20"/>
          <w:lang w:val="en-GB"/>
        </w:rPr>
      </w:pPr>
      <w:r w:rsidRPr="00623E9E">
        <w:rPr>
          <w:szCs w:val="20"/>
          <w:lang w:val="en-GB"/>
        </w:rPr>
        <w:t>The EESC:</w:t>
      </w:r>
    </w:p>
    <w:p w:rsidRPr="004C2B61" w:rsidR="00623E9E" w:rsidP="00713105" w:rsidRDefault="00623E9E" w14:paraId="4E329840" w14:textId="77777777">
      <w:pPr>
        <w:pStyle w:val="ListParagraph"/>
        <w:numPr>
          <w:ilvl w:val="0"/>
          <w:numId w:val="43"/>
        </w:numPr>
        <w:ind w:left="567" w:hanging="567"/>
        <w:rPr>
          <w:lang w:val="en-GB"/>
        </w:rPr>
      </w:pPr>
      <w:bookmarkStart w:name="_Toc191974019" w:id="28"/>
      <w:r w:rsidRPr="004C2B61">
        <w:rPr>
          <w:lang w:val="en-GB"/>
        </w:rPr>
        <w:t xml:space="preserve">recommends </w:t>
      </w:r>
      <w:r w:rsidRPr="004C2B61">
        <w:rPr>
          <w:b/>
          <w:bCs/>
          <w:lang w:val="en-GB"/>
        </w:rPr>
        <w:t>developing a comprehensive regulatory framework</w:t>
      </w:r>
      <w:r w:rsidRPr="004C2B61">
        <w:rPr>
          <w:lang w:val="en-GB"/>
        </w:rPr>
        <w:t xml:space="preserve"> for robotics and the metaverse in healthcare;</w:t>
      </w:r>
      <w:bookmarkEnd w:id="28"/>
    </w:p>
    <w:p w:rsidRPr="004C2B61" w:rsidR="00623E9E" w:rsidP="00713105" w:rsidRDefault="00623E9E" w14:paraId="06079E87" w14:textId="77777777">
      <w:pPr>
        <w:pStyle w:val="ListParagraph"/>
        <w:numPr>
          <w:ilvl w:val="0"/>
          <w:numId w:val="43"/>
        </w:numPr>
        <w:ind w:left="567" w:hanging="567"/>
        <w:rPr>
          <w:lang w:val="en-GB"/>
        </w:rPr>
      </w:pPr>
      <w:bookmarkStart w:name="_Toc191974020" w:id="29"/>
      <w:r w:rsidRPr="004C2B61">
        <w:rPr>
          <w:lang w:val="en-GB"/>
        </w:rPr>
        <w:t xml:space="preserve">stresses the importance of </w:t>
      </w:r>
      <w:r w:rsidRPr="00C43D3E">
        <w:rPr>
          <w:b/>
          <w:bCs/>
          <w:lang w:val="en-GB"/>
        </w:rPr>
        <w:t>promoting ethical standards and patient consent protocols</w:t>
      </w:r>
      <w:r w:rsidRPr="004C2B61">
        <w:rPr>
          <w:lang w:val="en-GB"/>
        </w:rPr>
        <w:t>;</w:t>
      </w:r>
      <w:bookmarkEnd w:id="29"/>
    </w:p>
    <w:p w:rsidRPr="004C2B61" w:rsidR="00623E9E" w:rsidP="00713105" w:rsidRDefault="00623E9E" w14:paraId="6D595B43" w14:textId="77777777">
      <w:pPr>
        <w:pStyle w:val="ListParagraph"/>
        <w:numPr>
          <w:ilvl w:val="0"/>
          <w:numId w:val="43"/>
        </w:numPr>
        <w:ind w:left="567" w:hanging="567"/>
        <w:rPr>
          <w:lang w:val="en-GB"/>
        </w:rPr>
      </w:pPr>
      <w:bookmarkStart w:name="_Toc191974021" w:id="30"/>
      <w:r w:rsidRPr="004C2B61">
        <w:rPr>
          <w:lang w:val="en-GB"/>
        </w:rPr>
        <w:t xml:space="preserve">calls for </w:t>
      </w:r>
      <w:r w:rsidRPr="004C2B61">
        <w:rPr>
          <w:b/>
          <w:bCs/>
          <w:lang w:val="en-GB"/>
        </w:rPr>
        <w:t>investment in digital infrastructure</w:t>
      </w:r>
      <w:r w:rsidRPr="004C2B61">
        <w:rPr>
          <w:lang w:val="en-GB"/>
        </w:rPr>
        <w:t xml:space="preserve"> to </w:t>
      </w:r>
      <w:r w:rsidRPr="004C2B61">
        <w:rPr>
          <w:b/>
          <w:bCs/>
          <w:lang w:val="en-GB"/>
        </w:rPr>
        <w:t>ensure equal access</w:t>
      </w:r>
      <w:r w:rsidRPr="004C2B61">
        <w:rPr>
          <w:lang w:val="en-GB"/>
        </w:rPr>
        <w:t xml:space="preserve"> and highlights the importance of investing in digital infrastructure, particularly in </w:t>
      </w:r>
      <w:r w:rsidRPr="004C2B61">
        <w:rPr>
          <w:b/>
          <w:bCs/>
          <w:lang w:val="en-GB"/>
        </w:rPr>
        <w:t>rural and underserved areas</w:t>
      </w:r>
      <w:r w:rsidRPr="004C2B61">
        <w:rPr>
          <w:lang w:val="en-GB"/>
        </w:rPr>
        <w:t>, to prevent a digital divide. The EU should prioritise the deployment of 5G and 6G networks to support the secure and reliable operation of robotics and metaverse technologies. Equitable access to these healthcare advancements across all Member States is a key priority;</w:t>
      </w:r>
      <w:bookmarkEnd w:id="30"/>
    </w:p>
    <w:p w:rsidRPr="004C2B61" w:rsidR="00623E9E" w:rsidP="00713105" w:rsidRDefault="00623E9E" w14:paraId="180EF85A" w14:textId="77777777">
      <w:pPr>
        <w:pStyle w:val="ListParagraph"/>
        <w:numPr>
          <w:ilvl w:val="0"/>
          <w:numId w:val="43"/>
        </w:numPr>
        <w:ind w:left="567" w:hanging="567"/>
        <w:rPr>
          <w:lang w:val="en-GB"/>
        </w:rPr>
      </w:pPr>
      <w:bookmarkStart w:name="_Toc191974022" w:id="31"/>
      <w:r w:rsidRPr="004C2B61">
        <w:rPr>
          <w:lang w:val="en-GB"/>
        </w:rPr>
        <w:t xml:space="preserve">advocates </w:t>
      </w:r>
      <w:r w:rsidRPr="004C2B61">
        <w:rPr>
          <w:b/>
          <w:bCs/>
          <w:lang w:val="en-GB"/>
        </w:rPr>
        <w:t>increasing educational and training support for healthcare professionals</w:t>
      </w:r>
      <w:r w:rsidRPr="004C2B61">
        <w:rPr>
          <w:lang w:val="en-GB"/>
        </w:rPr>
        <w:t>. It believes that the EU must fund and promote education and training programmes to prepare medical professionals for the integration of robotics and metaverse technologies;</w:t>
      </w:r>
      <w:bookmarkEnd w:id="31"/>
    </w:p>
    <w:p w:rsidRPr="004C2B61" w:rsidR="00623E9E" w:rsidP="00713105" w:rsidRDefault="00623E9E" w14:paraId="115A5476" w14:textId="77777777">
      <w:pPr>
        <w:pStyle w:val="ListParagraph"/>
        <w:numPr>
          <w:ilvl w:val="0"/>
          <w:numId w:val="43"/>
        </w:numPr>
        <w:ind w:left="567" w:hanging="567"/>
        <w:rPr>
          <w:lang w:val="en-GB"/>
        </w:rPr>
      </w:pPr>
      <w:bookmarkStart w:name="_Toc191974023" w:id="32"/>
      <w:r w:rsidRPr="004C2B61">
        <w:rPr>
          <w:lang w:val="en-GB"/>
        </w:rPr>
        <w:t xml:space="preserve">encourages </w:t>
      </w:r>
      <w:r w:rsidRPr="004C2B61">
        <w:rPr>
          <w:b/>
          <w:bCs/>
          <w:lang w:val="en-GB"/>
        </w:rPr>
        <w:t>fostering innovation through a targeted EU investment strategy</w:t>
      </w:r>
      <w:r w:rsidRPr="004C2B61">
        <w:rPr>
          <w:lang w:val="en-GB"/>
        </w:rPr>
        <w:t>. It strongly recommends that the EU develop a targeted investment strategy, particularly aimed at supporting small and medium-sized enterprises (SMEs) working on robotics and metaverse solutions for healthcare, and</w:t>
      </w:r>
      <w:bookmarkEnd w:id="32"/>
    </w:p>
    <w:p w:rsidRPr="004C2B61" w:rsidR="00623E9E" w:rsidP="00713105" w:rsidRDefault="00623E9E" w14:paraId="5166FC72" w14:textId="77777777">
      <w:pPr>
        <w:pStyle w:val="ListParagraph"/>
        <w:numPr>
          <w:ilvl w:val="0"/>
          <w:numId w:val="43"/>
        </w:numPr>
        <w:ind w:left="567" w:hanging="567"/>
        <w:rPr>
          <w:lang w:val="en-GB"/>
        </w:rPr>
      </w:pPr>
      <w:bookmarkStart w:name="_Toc191974024" w:id="33"/>
      <w:r w:rsidRPr="004C2B61">
        <w:rPr>
          <w:lang w:val="en-GB"/>
        </w:rPr>
        <w:t xml:space="preserve">emphasises the need for </w:t>
      </w:r>
      <w:r w:rsidRPr="004C2B61">
        <w:rPr>
          <w:b/>
          <w:bCs/>
          <w:lang w:val="en-GB"/>
        </w:rPr>
        <w:t>strong data privacy and cybersecurity protections</w:t>
      </w:r>
      <w:r w:rsidRPr="004C2B61">
        <w:rPr>
          <w:lang w:val="en-GB"/>
        </w:rPr>
        <w:t>. It urges the EU to implement stringent data privacy and cybersecurity regulations to safeguard sensitive health data and protect against cyberattacks. This includes securing the connections between robotics, the metaverse, and human interface devices. The EESC also points out that data sovereignty and compliance must be addressed across different jurisdictions to protect patients’ rights and ensure trust in cross-border healthcare services.</w:t>
      </w:r>
      <w:bookmarkEnd w:id="33"/>
    </w:p>
    <w:p w:rsidRPr="00623E9E" w:rsidR="00623E9E" w:rsidP="00BE1F8F" w:rsidRDefault="00623E9E" w14:paraId="189CE723" w14:textId="77777777">
      <w:pPr>
        <w:rPr>
          <w:lang w:val="en-GB"/>
        </w:rPr>
      </w:pPr>
    </w:p>
    <w:tbl>
      <w:tblPr>
        <w:tblW w:w="0" w:type="auto"/>
        <w:tblLook w:val="04A0" w:firstRow="1" w:lastRow="0" w:firstColumn="1" w:lastColumn="0" w:noHBand="0" w:noVBand="1"/>
      </w:tblPr>
      <w:tblGrid>
        <w:gridCol w:w="1418"/>
        <w:gridCol w:w="5670"/>
      </w:tblGrid>
      <w:tr w:rsidRPr="00623E9E" w:rsidR="00623E9E" w:rsidTr="00A3780E" w14:paraId="5AA87467" w14:textId="77777777">
        <w:tc>
          <w:tcPr>
            <w:tcW w:w="1418" w:type="dxa"/>
          </w:tcPr>
          <w:p w:rsidRPr="00623E9E" w:rsidR="00623E9E" w:rsidP="00BE1F8F" w:rsidRDefault="00623E9E" w14:paraId="565BF265" w14:textId="77777777">
            <w:pPr>
              <w:keepNext/>
              <w:keepLines/>
              <w:overflowPunct w:val="0"/>
              <w:autoSpaceDE w:val="0"/>
              <w:autoSpaceDN w:val="0"/>
              <w:adjustRightInd w:val="0"/>
              <w:textAlignment w:val="baseline"/>
              <w:rPr>
                <w:i/>
              </w:rPr>
            </w:pPr>
            <w:r w:rsidRPr="00623E9E">
              <w:rPr>
                <w:b/>
                <w:i/>
              </w:rPr>
              <w:t>Contact</w:t>
            </w:r>
          </w:p>
        </w:tc>
        <w:tc>
          <w:tcPr>
            <w:tcW w:w="5670" w:type="dxa"/>
          </w:tcPr>
          <w:p w:rsidRPr="00623E9E" w:rsidR="00623E9E" w:rsidP="00BE1F8F" w:rsidRDefault="00623E9E" w14:paraId="206EEDE0" w14:textId="77777777">
            <w:pPr>
              <w:keepNext/>
              <w:keepLines/>
              <w:overflowPunct w:val="0"/>
              <w:autoSpaceDE w:val="0"/>
              <w:autoSpaceDN w:val="0"/>
              <w:adjustRightInd w:val="0"/>
              <w:textAlignment w:val="baseline"/>
              <w:rPr>
                <w:i/>
              </w:rPr>
            </w:pPr>
            <w:r w:rsidRPr="00623E9E">
              <w:rPr>
                <w:i/>
              </w:rPr>
              <w:t>Marie-Laurence Drillon</w:t>
            </w:r>
          </w:p>
        </w:tc>
      </w:tr>
      <w:tr w:rsidRPr="00623E9E" w:rsidR="00623E9E" w:rsidTr="00A3780E" w14:paraId="1831ADE5" w14:textId="77777777">
        <w:tc>
          <w:tcPr>
            <w:tcW w:w="1418" w:type="dxa"/>
          </w:tcPr>
          <w:p w:rsidRPr="00623E9E" w:rsidR="00623E9E" w:rsidP="00BE1F8F" w:rsidRDefault="00623E9E" w14:paraId="0B867EF2" w14:textId="77777777">
            <w:pPr>
              <w:keepNext/>
              <w:keepLines/>
              <w:overflowPunct w:val="0"/>
              <w:autoSpaceDE w:val="0"/>
              <w:autoSpaceDN w:val="0"/>
              <w:adjustRightInd w:val="0"/>
              <w:textAlignment w:val="baseline"/>
              <w:rPr>
                <w:i/>
              </w:rPr>
            </w:pPr>
            <w:r w:rsidRPr="00623E9E">
              <w:rPr>
                <w:i/>
              </w:rPr>
              <w:t>Tel.</w:t>
            </w:r>
          </w:p>
        </w:tc>
        <w:tc>
          <w:tcPr>
            <w:tcW w:w="5670" w:type="dxa"/>
          </w:tcPr>
          <w:p w:rsidRPr="00623E9E" w:rsidR="00623E9E" w:rsidP="00BE1F8F" w:rsidRDefault="00623E9E" w14:paraId="41C0B021" w14:textId="77777777">
            <w:pPr>
              <w:keepNext/>
              <w:keepLines/>
              <w:overflowPunct w:val="0"/>
              <w:autoSpaceDE w:val="0"/>
              <w:autoSpaceDN w:val="0"/>
              <w:adjustRightInd w:val="0"/>
              <w:textAlignment w:val="baseline"/>
              <w:rPr>
                <w:i/>
              </w:rPr>
            </w:pPr>
            <w:r w:rsidRPr="00623E9E">
              <w:rPr>
                <w:i/>
              </w:rPr>
              <w:t>+32 2 546 8320</w:t>
            </w:r>
          </w:p>
        </w:tc>
      </w:tr>
      <w:tr w:rsidRPr="00623E9E" w:rsidR="00623E9E" w:rsidTr="00A3780E" w14:paraId="042D4108" w14:textId="77777777">
        <w:tc>
          <w:tcPr>
            <w:tcW w:w="1418" w:type="dxa"/>
          </w:tcPr>
          <w:p w:rsidRPr="00623E9E" w:rsidR="00623E9E" w:rsidP="00BE1F8F" w:rsidRDefault="00752F62" w14:paraId="44E8DDBE" w14:textId="17714177">
            <w:pPr>
              <w:overflowPunct w:val="0"/>
              <w:autoSpaceDE w:val="0"/>
              <w:autoSpaceDN w:val="0"/>
              <w:adjustRightInd w:val="0"/>
              <w:textAlignment w:val="baseline"/>
              <w:rPr>
                <w:i/>
              </w:rPr>
            </w:pPr>
            <w:r>
              <w:rPr>
                <w:i/>
              </w:rPr>
              <w:t>E</w:t>
            </w:r>
            <w:r w:rsidRPr="00623E9E" w:rsidR="00623E9E">
              <w:rPr>
                <w:i/>
              </w:rPr>
              <w:t>mail</w:t>
            </w:r>
          </w:p>
        </w:tc>
        <w:tc>
          <w:tcPr>
            <w:tcW w:w="5670" w:type="dxa"/>
          </w:tcPr>
          <w:p w:rsidRPr="00623E9E" w:rsidR="00623E9E" w:rsidP="00BE1F8F" w:rsidRDefault="002C4029" w14:paraId="348F9AAA" w14:textId="77777777">
            <w:pPr>
              <w:overflowPunct w:val="0"/>
              <w:autoSpaceDE w:val="0"/>
              <w:autoSpaceDN w:val="0"/>
              <w:adjustRightInd w:val="0"/>
              <w:textAlignment w:val="baseline"/>
              <w:rPr>
                <w:i/>
              </w:rPr>
            </w:pPr>
            <w:hyperlink w:history="1" r:id="rId56">
              <w:r w:rsidRPr="00623E9E" w:rsidR="00623E9E">
                <w:rPr>
                  <w:i/>
                  <w:color w:val="0000FF"/>
                  <w:u w:val="single"/>
                </w:rPr>
                <w:t>Marie-Laurence.Drillon@eesc.europa.eu</w:t>
              </w:r>
            </w:hyperlink>
          </w:p>
        </w:tc>
      </w:tr>
    </w:tbl>
    <w:p w:rsidR="000D394D" w:rsidP="00BE1F8F" w:rsidRDefault="00726351" w14:paraId="2E28EF19" w14:textId="70908071">
      <w:pPr>
        <w:jc w:val="center"/>
      </w:pPr>
      <w:r>
        <w:rPr>
          <w:lang w:val="nl-BE"/>
        </w:rPr>
        <w:t>_____________</w:t>
      </w:r>
    </w:p>
    <w:sectPr w:rsidR="000D394D" w:rsidSect="00713105">
      <w:headerReference w:type="even" r:id="rId57"/>
      <w:headerReference w:type="default" r:id="rId58"/>
      <w:footerReference w:type="even" r:id="rId59"/>
      <w:footerReference w:type="default" r:id="rId60"/>
      <w:headerReference w:type="first" r:id="rId61"/>
      <w:footerReference w:type="first" r:id="rId62"/>
      <w:pgSz w:w="11907" w:h="1683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559" w:rsidP="00B518C9" w:rsidRDefault="00227559" w14:paraId="5515A4C4" w14:textId="77777777">
      <w:pPr>
        <w:spacing w:line="240" w:lineRule="auto"/>
      </w:pPr>
      <w:r>
        <w:separator/>
      </w:r>
    </w:p>
    <w:p w:rsidR="00227559" w:rsidRDefault="00227559" w14:paraId="3A5ED762" w14:textId="77777777"/>
  </w:endnote>
  <w:endnote w:type="continuationSeparator" w:id="0">
    <w:p w:rsidR="00227559" w:rsidP="00B518C9" w:rsidRDefault="00227559" w14:paraId="4BCEBE6C" w14:textId="77777777">
      <w:pPr>
        <w:spacing w:line="240" w:lineRule="auto"/>
      </w:pPr>
      <w:r>
        <w:continuationSeparator/>
      </w:r>
    </w:p>
    <w:p w:rsidR="00227559" w:rsidRDefault="00227559" w14:paraId="556C10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F250D5" w:rsidP="00BE1F8F" w:rsidRDefault="00F250D5" w14:paraId="4CA81E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B518C9" w:rsidP="00BE1F8F" w:rsidRDefault="00BE1F8F" w14:paraId="4982DE51" w14:textId="3E64DF1B">
    <w:pPr>
      <w:pStyle w:val="Footer"/>
    </w:pPr>
    <w:r>
      <w:t xml:space="preserve">EESC-2025-00345-00-01-TCD-TRA (EN) </w:t>
    </w:r>
    <w:r>
      <w:fldChar w:fldCharType="begin"/>
    </w:r>
    <w:r>
      <w:instrText xml:space="preserve"> PAGE  \* Arabic  \* MERGEFORMAT </w:instrText>
    </w:r>
    <w:r>
      <w:fldChar w:fldCharType="separate"/>
    </w:r>
    <w:r w:rsidR="00632266">
      <w:rPr>
        <w:noProof/>
      </w:rPr>
      <w:t>1</w:t>
    </w:r>
    <w:r>
      <w:fldChar w:fldCharType="end"/>
    </w:r>
    <w:r>
      <w:t>/</w:t>
    </w:r>
    <w:r w:rsidR="002C4029">
      <w:fldChar w:fldCharType="begin"/>
    </w:r>
    <w:r w:rsidR="002C4029">
      <w:instrText xml:space="preserve"> NUMPAGES </w:instrText>
    </w:r>
    <w:r w:rsidR="002C4029">
      <w:fldChar w:fldCharType="separate"/>
    </w:r>
    <w:r w:rsidR="00632266">
      <w:rPr>
        <w:noProof/>
      </w:rPr>
      <w:t>1</w:t>
    </w:r>
    <w:r w:rsidR="002C402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F250D5" w:rsidP="00BE1F8F" w:rsidRDefault="00F250D5" w14:paraId="18D274A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67428C" w:rsidP="00BE1F8F" w:rsidRDefault="0067428C" w14:paraId="4A980EDD"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67428C" w:rsidP="00BE1F8F" w:rsidRDefault="00BE1F8F" w14:paraId="7B8FA535" w14:textId="1A8F1C6B">
    <w:pPr>
      <w:pStyle w:val="Footer"/>
    </w:pPr>
    <w:r>
      <w:t xml:space="preserve">EESC-2025-00345-00-01-TCD-TRA (EN) </w:t>
    </w:r>
    <w:r>
      <w:fldChar w:fldCharType="begin"/>
    </w:r>
    <w:r>
      <w:instrText xml:space="preserve"> PAGE  \* Arabic  \* MERGEFORMAT </w:instrText>
    </w:r>
    <w:r>
      <w:fldChar w:fldCharType="separate"/>
    </w:r>
    <w:r>
      <w:rPr>
        <w:noProof/>
      </w:rPr>
      <w:t>2</w:t>
    </w:r>
    <w:r>
      <w:fldChar w:fldCharType="end"/>
    </w:r>
    <w:r>
      <w:t>/</w:t>
    </w:r>
    <w:r w:rsidR="002C4029">
      <w:fldChar w:fldCharType="begin"/>
    </w:r>
    <w:r w:rsidR="002C4029">
      <w:instrText xml:space="preserve"> NUMPAGES </w:instrText>
    </w:r>
    <w:r w:rsidR="002C4029">
      <w:fldChar w:fldCharType="separate"/>
    </w:r>
    <w:r>
      <w:rPr>
        <w:noProof/>
      </w:rPr>
      <w:t>9</w:t>
    </w:r>
    <w:r w:rsidR="002C402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EE160A" w:rsidP="00BE1F8F" w:rsidRDefault="00EE160A" w14:paraId="528199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559" w:rsidP="00B518C9" w:rsidRDefault="00227559" w14:paraId="2CE85884" w14:textId="77777777">
      <w:pPr>
        <w:spacing w:line="240" w:lineRule="auto"/>
      </w:pPr>
      <w:r>
        <w:separator/>
      </w:r>
    </w:p>
    <w:p w:rsidR="00227559" w:rsidRDefault="00227559" w14:paraId="68988782" w14:textId="77777777"/>
  </w:footnote>
  <w:footnote w:type="continuationSeparator" w:id="0">
    <w:p w:rsidR="00227559" w:rsidP="00B518C9" w:rsidRDefault="00227559" w14:paraId="39883EF1" w14:textId="77777777">
      <w:pPr>
        <w:spacing w:line="240" w:lineRule="auto"/>
      </w:pPr>
      <w:r>
        <w:continuationSeparator/>
      </w:r>
    </w:p>
    <w:p w:rsidR="00227559" w:rsidRDefault="00227559" w14:paraId="3AE363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F250D5" w:rsidP="00BE1F8F" w:rsidRDefault="00F250D5" w14:paraId="4791D4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F250D5" w:rsidP="00BE1F8F" w:rsidRDefault="00F250D5" w14:paraId="25D78CD0" w14:textId="26DDA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F250D5" w:rsidP="00BE1F8F" w:rsidRDefault="00F250D5" w14:paraId="7686685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67428C" w:rsidP="00BE1F8F" w:rsidRDefault="0067428C" w14:paraId="30C7FC3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67428C" w:rsidP="00BE1F8F" w:rsidRDefault="0067428C" w14:paraId="42F92C5D" w14:textId="372452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F8F" w:rsidR="00EE160A" w:rsidP="00BE1F8F" w:rsidRDefault="00EE160A" w14:paraId="111A5D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E78A658"/>
    <w:lvl w:ilvl="0">
      <w:start w:val="1"/>
      <w:numFmt w:val="decimal"/>
      <w:pStyle w:val="Heading1"/>
      <w:lvlText w:val="%1."/>
      <w:legacy w:legacy="1" w:legacySpace="0" w:legacyIndent="0"/>
      <w:lvlJc w:val="left"/>
      <w:rPr>
        <w:b w:val="0"/>
        <w:bCs/>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E06ABCBE"/>
    <w:lvl w:ilvl="0">
      <w:numFmt w:val="decimal"/>
      <w:lvlText w:val="*"/>
      <w:lvlJc w:val="left"/>
    </w:lvl>
  </w:abstractNum>
  <w:abstractNum w:abstractNumId="2" w15:restartNumberingAfterBreak="0">
    <w:nsid w:val="003B78BD"/>
    <w:multiLevelType w:val="hybridMultilevel"/>
    <w:tmpl w:val="66DEF13E"/>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017F16A7"/>
    <w:multiLevelType w:val="hybridMultilevel"/>
    <w:tmpl w:val="76122482"/>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8F1F91"/>
    <w:multiLevelType w:val="hybridMultilevel"/>
    <w:tmpl w:val="991EBB24"/>
    <w:lvl w:ilvl="0" w:tplc="FFFFFFFF">
      <w:start w:val="1"/>
      <w:numFmt w:val="bullet"/>
      <w:lvlText w:val="o"/>
      <w:lvlJc w:val="left"/>
      <w:pPr>
        <w:ind w:left="720" w:hanging="360"/>
      </w:pPr>
      <w:rPr>
        <w:rFonts w:ascii="Courier New" w:hAnsi="Courier New" w:cs="Courier New" w:hint="default"/>
      </w:rPr>
    </w:lvl>
    <w:lvl w:ilvl="1" w:tplc="8E864B0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C53A5C"/>
    <w:multiLevelType w:val="hybridMultilevel"/>
    <w:tmpl w:val="2CB206D8"/>
    <w:lvl w:ilvl="0" w:tplc="8E864B0C">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080A122A"/>
    <w:multiLevelType w:val="hybridMultilevel"/>
    <w:tmpl w:val="0BB8EE18"/>
    <w:lvl w:ilvl="0" w:tplc="8E864B0C">
      <w:start w:val="1"/>
      <w:numFmt w:val="bullet"/>
      <w:lvlText w:val=""/>
      <w:lvlJc w:val="left"/>
      <w:pPr>
        <w:ind w:left="720" w:hanging="360"/>
      </w:pPr>
      <w:rPr>
        <w:rFonts w:ascii="Symbol" w:hAnsi="Symbol" w:hint="default"/>
        <w:color w:val="auto"/>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B475CB"/>
    <w:multiLevelType w:val="hybridMultilevel"/>
    <w:tmpl w:val="7BFE4DA0"/>
    <w:lvl w:ilvl="0" w:tplc="8E864B0C">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0CDE4774"/>
    <w:multiLevelType w:val="hybridMultilevel"/>
    <w:tmpl w:val="37BA4F42"/>
    <w:lvl w:ilvl="0" w:tplc="8E864B0C">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0F77DDB"/>
    <w:multiLevelType w:val="hybridMultilevel"/>
    <w:tmpl w:val="33DC05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94116E1"/>
    <w:multiLevelType w:val="hybridMultilevel"/>
    <w:tmpl w:val="DFE84AEA"/>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883396"/>
    <w:multiLevelType w:val="hybridMultilevel"/>
    <w:tmpl w:val="5EC05AF6"/>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1BBA7630"/>
    <w:multiLevelType w:val="singleLevel"/>
    <w:tmpl w:val="20000001"/>
    <w:lvl w:ilvl="0">
      <w:start w:val="1"/>
      <w:numFmt w:val="bullet"/>
      <w:lvlText w:val=""/>
      <w:lvlJc w:val="left"/>
      <w:pPr>
        <w:ind w:left="720" w:hanging="360"/>
      </w:pPr>
      <w:rPr>
        <w:rFonts w:ascii="Symbol" w:hAnsi="Symbol" w:hint="default"/>
      </w:rPr>
    </w:lvl>
  </w:abstractNum>
  <w:abstractNum w:abstractNumId="13" w15:restartNumberingAfterBreak="0">
    <w:nsid w:val="1C4658E6"/>
    <w:multiLevelType w:val="hybridMultilevel"/>
    <w:tmpl w:val="87462980"/>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4" w15:restartNumberingAfterBreak="0">
    <w:nsid w:val="1E5D0EFB"/>
    <w:multiLevelType w:val="hybridMultilevel"/>
    <w:tmpl w:val="FC00356E"/>
    <w:lvl w:ilvl="0" w:tplc="8E864B0C">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1FFA70D8"/>
    <w:multiLevelType w:val="hybridMultilevel"/>
    <w:tmpl w:val="81BC6AFA"/>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4202159"/>
    <w:multiLevelType w:val="hybridMultilevel"/>
    <w:tmpl w:val="02F24922"/>
    <w:lvl w:ilvl="0" w:tplc="8E864B0C">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275F2241"/>
    <w:multiLevelType w:val="hybridMultilevel"/>
    <w:tmpl w:val="0DB4F262"/>
    <w:lvl w:ilvl="0" w:tplc="080C0001">
      <w:start w:val="1"/>
      <w:numFmt w:val="bullet"/>
      <w:lvlText w:val=""/>
      <w:lvlJc w:val="left"/>
      <w:pPr>
        <w:ind w:left="720" w:hanging="360"/>
      </w:pPr>
      <w:rPr>
        <w:rFonts w:ascii="Symbol" w:hAnsi="Symbol" w:hint="default"/>
      </w:rPr>
    </w:lvl>
    <w:lvl w:ilvl="1" w:tplc="B6CEA77C">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A942A0F"/>
    <w:multiLevelType w:val="hybridMultilevel"/>
    <w:tmpl w:val="8758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158AC"/>
    <w:multiLevelType w:val="multilevel"/>
    <w:tmpl w:val="0BC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D83E27"/>
    <w:multiLevelType w:val="hybridMultilevel"/>
    <w:tmpl w:val="1F4CE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0375C3D"/>
    <w:multiLevelType w:val="hybridMultilevel"/>
    <w:tmpl w:val="A06E2070"/>
    <w:lvl w:ilvl="0" w:tplc="8E864B0C">
      <w:start w:val="1"/>
      <w:numFmt w:val="bullet"/>
      <w:lvlText w:val=""/>
      <w:lvlJc w:val="left"/>
      <w:pPr>
        <w:ind w:left="1429" w:hanging="360"/>
      </w:pPr>
      <w:rPr>
        <w:rFonts w:ascii="Symbol" w:hAnsi="Symbol"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327B5574"/>
    <w:multiLevelType w:val="hybridMultilevel"/>
    <w:tmpl w:val="1854AB32"/>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3" w15:restartNumberingAfterBreak="0">
    <w:nsid w:val="35F41A11"/>
    <w:multiLevelType w:val="hybridMultilevel"/>
    <w:tmpl w:val="BF64D86A"/>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C60B2F"/>
    <w:multiLevelType w:val="hybridMultilevel"/>
    <w:tmpl w:val="76C615E8"/>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5" w15:restartNumberingAfterBreak="0">
    <w:nsid w:val="418E1E35"/>
    <w:multiLevelType w:val="multilevel"/>
    <w:tmpl w:val="972E55B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3467D"/>
    <w:multiLevelType w:val="hybridMultilevel"/>
    <w:tmpl w:val="A724B3C0"/>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E12C5B"/>
    <w:multiLevelType w:val="hybridMultilevel"/>
    <w:tmpl w:val="A59A9AF2"/>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8" w15:restartNumberingAfterBreak="0">
    <w:nsid w:val="52CA61C9"/>
    <w:multiLevelType w:val="hybridMultilevel"/>
    <w:tmpl w:val="6F5442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4382302"/>
    <w:multiLevelType w:val="hybridMultilevel"/>
    <w:tmpl w:val="13C23AD6"/>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F92C6D"/>
    <w:multiLevelType w:val="hybridMultilevel"/>
    <w:tmpl w:val="246A71BC"/>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5928275E"/>
    <w:multiLevelType w:val="hybridMultilevel"/>
    <w:tmpl w:val="F3E2DFF8"/>
    <w:lvl w:ilvl="0" w:tplc="8E864B0C">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59CD5CD1"/>
    <w:multiLevelType w:val="hybridMultilevel"/>
    <w:tmpl w:val="EA264F80"/>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33" w15:restartNumberingAfterBreak="0">
    <w:nsid w:val="5D195562"/>
    <w:multiLevelType w:val="hybridMultilevel"/>
    <w:tmpl w:val="916C5084"/>
    <w:lvl w:ilvl="0" w:tplc="8E864B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FCF522C"/>
    <w:multiLevelType w:val="hybridMultilevel"/>
    <w:tmpl w:val="FAC885D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627C73E2"/>
    <w:multiLevelType w:val="hybridMultilevel"/>
    <w:tmpl w:val="D9784A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97D1E3D"/>
    <w:multiLevelType w:val="hybridMultilevel"/>
    <w:tmpl w:val="8BEA0D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D11A3"/>
    <w:multiLevelType w:val="singleLevel"/>
    <w:tmpl w:val="C97AF652"/>
    <w:lvl w:ilvl="0">
      <w:numFmt w:val="decimal"/>
      <w:lvlText w:val="*"/>
      <w:lvlJc w:val="left"/>
    </w:lvl>
  </w:abstractNum>
  <w:abstractNum w:abstractNumId="38" w15:restartNumberingAfterBreak="0">
    <w:nsid w:val="6C3C7753"/>
    <w:multiLevelType w:val="hybridMultilevel"/>
    <w:tmpl w:val="F4C60320"/>
    <w:lvl w:ilvl="0" w:tplc="8E864B0C">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9" w15:restartNumberingAfterBreak="0">
    <w:nsid w:val="6F781A53"/>
    <w:multiLevelType w:val="hybridMultilevel"/>
    <w:tmpl w:val="20F6F7E8"/>
    <w:lvl w:ilvl="0" w:tplc="8E864B0C">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0" w15:restartNumberingAfterBreak="0">
    <w:nsid w:val="72EB051D"/>
    <w:multiLevelType w:val="hybridMultilevel"/>
    <w:tmpl w:val="D5B6578A"/>
    <w:lvl w:ilvl="0" w:tplc="8E864B0C">
      <w:start w:val="1"/>
      <w:numFmt w:val="bullet"/>
      <w:lvlText w:val=""/>
      <w:lvlJc w:val="left"/>
      <w:pPr>
        <w:ind w:left="567" w:hanging="283"/>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E085AB1"/>
    <w:multiLevelType w:val="hybridMultilevel"/>
    <w:tmpl w:val="06FC5AFA"/>
    <w:lvl w:ilvl="0" w:tplc="8E864B0C">
      <w:start w:val="1"/>
      <w:numFmt w:val="bullet"/>
      <w:lvlText w:val=""/>
      <w:lvlJc w:val="left"/>
      <w:pPr>
        <w:ind w:left="644" w:hanging="360"/>
      </w:pPr>
      <w:rPr>
        <w:rFonts w:ascii="Symbol" w:hAnsi="Symbol" w:hint="default"/>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42" w15:restartNumberingAfterBreak="0">
    <w:nsid w:val="7E1A7F53"/>
    <w:multiLevelType w:val="hybridMultilevel"/>
    <w:tmpl w:val="B080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567" w:hanging="283"/>
        </w:pPr>
        <w:rPr>
          <w:rFonts w:ascii="Symbol" w:hAnsi="Symbol" w:hint="default"/>
          <w:color w:val="auto"/>
          <w:sz w:val="28"/>
          <w:szCs w:val="28"/>
        </w:rPr>
      </w:lvl>
    </w:lvlOverride>
  </w:num>
  <w:num w:numId="3">
    <w:abstractNumId w:val="1"/>
    <w:lvlOverride w:ilvl="0">
      <w:lvl w:ilvl="0">
        <w:start w:val="1"/>
        <w:numFmt w:val="bullet"/>
        <w:lvlText w:val=""/>
        <w:lvlJc w:val="left"/>
        <w:pPr>
          <w:ind w:left="720" w:hanging="360"/>
        </w:pPr>
        <w:rPr>
          <w:rFonts w:ascii="Symbol" w:hAnsi="Symbol" w:hint="default"/>
          <w:color w:val="auto"/>
        </w:rPr>
      </w:lvl>
    </w:lvlOverride>
  </w:num>
  <w:num w:numId="4">
    <w:abstractNumId w:val="17"/>
  </w:num>
  <w:num w:numId="5">
    <w:abstractNumId w:val="30"/>
  </w:num>
  <w:num w:numId="6">
    <w:abstractNumId w:val="20"/>
  </w:num>
  <w:num w:numId="7">
    <w:abstractNumId w:val="18"/>
  </w:num>
  <w:num w:numId="8">
    <w:abstractNumId w:val="28"/>
  </w:num>
  <w:num w:numId="9">
    <w:abstractNumId w:val="34"/>
  </w:num>
  <w:num w:numId="10">
    <w:abstractNumId w:val="12"/>
  </w:num>
  <w:num w:numId="11">
    <w:abstractNumId w:val="37"/>
  </w:num>
  <w:num w:numId="12">
    <w:abstractNumId w:val="35"/>
  </w:num>
  <w:num w:numId="13">
    <w:abstractNumId w:val="9"/>
  </w:num>
  <w:num w:numId="14">
    <w:abstractNumId w:val="19"/>
  </w:num>
  <w:num w:numId="15">
    <w:abstractNumId w:val="2"/>
  </w:num>
  <w:num w:numId="16">
    <w:abstractNumId w:val="42"/>
  </w:num>
  <w:num w:numId="17">
    <w:abstractNumId w:val="36"/>
  </w:num>
  <w:num w:numId="18">
    <w:abstractNumId w:val="40"/>
  </w:num>
  <w:num w:numId="19">
    <w:abstractNumId w:val="27"/>
  </w:num>
  <w:num w:numId="20">
    <w:abstractNumId w:val="15"/>
  </w:num>
  <w:num w:numId="21">
    <w:abstractNumId w:val="29"/>
  </w:num>
  <w:num w:numId="22">
    <w:abstractNumId w:val="16"/>
  </w:num>
  <w:num w:numId="23">
    <w:abstractNumId w:val="7"/>
  </w:num>
  <w:num w:numId="24">
    <w:abstractNumId w:val="6"/>
  </w:num>
  <w:num w:numId="25">
    <w:abstractNumId w:val="8"/>
  </w:num>
  <w:num w:numId="26">
    <w:abstractNumId w:val="26"/>
  </w:num>
  <w:num w:numId="27">
    <w:abstractNumId w:val="10"/>
  </w:num>
  <w:num w:numId="28">
    <w:abstractNumId w:val="22"/>
  </w:num>
  <w:num w:numId="29">
    <w:abstractNumId w:val="41"/>
  </w:num>
  <w:num w:numId="30">
    <w:abstractNumId w:val="11"/>
  </w:num>
  <w:num w:numId="31">
    <w:abstractNumId w:val="13"/>
  </w:num>
  <w:num w:numId="32">
    <w:abstractNumId w:val="33"/>
  </w:num>
  <w:num w:numId="33">
    <w:abstractNumId w:val="25"/>
  </w:num>
  <w:num w:numId="34">
    <w:abstractNumId w:val="24"/>
  </w:num>
  <w:num w:numId="35">
    <w:abstractNumId w:val="23"/>
  </w:num>
  <w:num w:numId="36">
    <w:abstractNumId w:val="4"/>
  </w:num>
  <w:num w:numId="37">
    <w:abstractNumId w:val="21"/>
  </w:num>
  <w:num w:numId="38">
    <w:abstractNumId w:val="32"/>
  </w:num>
  <w:num w:numId="39">
    <w:abstractNumId w:val="39"/>
  </w:num>
  <w:num w:numId="40">
    <w:abstractNumId w:val="38"/>
  </w:num>
  <w:num w:numId="41">
    <w:abstractNumId w:val="31"/>
  </w:num>
  <w:num w:numId="42">
    <w:abstractNumId w:val="14"/>
  </w:num>
  <w:num w:numId="43">
    <w:abstractNumId w:val="5"/>
  </w:num>
  <w:num w:numId="4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C0"/>
    <w:rsid w:val="0000462A"/>
    <w:rsid w:val="00010A4D"/>
    <w:rsid w:val="00032230"/>
    <w:rsid w:val="0005257A"/>
    <w:rsid w:val="00063DFF"/>
    <w:rsid w:val="00077D3D"/>
    <w:rsid w:val="00083115"/>
    <w:rsid w:val="000857F2"/>
    <w:rsid w:val="00093B0F"/>
    <w:rsid w:val="000A2214"/>
    <w:rsid w:val="000A6A5A"/>
    <w:rsid w:val="000B40B4"/>
    <w:rsid w:val="000D394D"/>
    <w:rsid w:val="000D43E1"/>
    <w:rsid w:val="000D533F"/>
    <w:rsid w:val="000E4936"/>
    <w:rsid w:val="00107677"/>
    <w:rsid w:val="001131B6"/>
    <w:rsid w:val="00114665"/>
    <w:rsid w:val="00114D45"/>
    <w:rsid w:val="00116EE0"/>
    <w:rsid w:val="001208E1"/>
    <w:rsid w:val="00126764"/>
    <w:rsid w:val="0015044C"/>
    <w:rsid w:val="0015267F"/>
    <w:rsid w:val="00154A6C"/>
    <w:rsid w:val="00157297"/>
    <w:rsid w:val="001638E9"/>
    <w:rsid w:val="00175F5A"/>
    <w:rsid w:val="001826A4"/>
    <w:rsid w:val="0018354A"/>
    <w:rsid w:val="001900C9"/>
    <w:rsid w:val="00195DF6"/>
    <w:rsid w:val="001C0AB9"/>
    <w:rsid w:val="001C4BA5"/>
    <w:rsid w:val="001C5762"/>
    <w:rsid w:val="001E391D"/>
    <w:rsid w:val="0020320E"/>
    <w:rsid w:val="00204020"/>
    <w:rsid w:val="00217685"/>
    <w:rsid w:val="00225BB6"/>
    <w:rsid w:val="00227559"/>
    <w:rsid w:val="00232656"/>
    <w:rsid w:val="00247F8B"/>
    <w:rsid w:val="002538AC"/>
    <w:rsid w:val="00264FC2"/>
    <w:rsid w:val="0027707F"/>
    <w:rsid w:val="00293191"/>
    <w:rsid w:val="002A5636"/>
    <w:rsid w:val="002A61F5"/>
    <w:rsid w:val="002B7981"/>
    <w:rsid w:val="002C4029"/>
    <w:rsid w:val="002E05A2"/>
    <w:rsid w:val="00302537"/>
    <w:rsid w:val="003066BE"/>
    <w:rsid w:val="00321FDD"/>
    <w:rsid w:val="003227CC"/>
    <w:rsid w:val="003232BE"/>
    <w:rsid w:val="00343F74"/>
    <w:rsid w:val="003442FB"/>
    <w:rsid w:val="00366FB1"/>
    <w:rsid w:val="00382A22"/>
    <w:rsid w:val="00392B2D"/>
    <w:rsid w:val="003A4752"/>
    <w:rsid w:val="003B3B1A"/>
    <w:rsid w:val="003C2964"/>
    <w:rsid w:val="003F326D"/>
    <w:rsid w:val="003F4AD5"/>
    <w:rsid w:val="003F79EF"/>
    <w:rsid w:val="00402449"/>
    <w:rsid w:val="0041135D"/>
    <w:rsid w:val="00421AAB"/>
    <w:rsid w:val="004229C4"/>
    <w:rsid w:val="004255DD"/>
    <w:rsid w:val="0043191A"/>
    <w:rsid w:val="00435AEF"/>
    <w:rsid w:val="00444504"/>
    <w:rsid w:val="00465FCD"/>
    <w:rsid w:val="00486DAE"/>
    <w:rsid w:val="004A5CD7"/>
    <w:rsid w:val="004C2B61"/>
    <w:rsid w:val="004D7AC0"/>
    <w:rsid w:val="004E3508"/>
    <w:rsid w:val="004E411F"/>
    <w:rsid w:val="004F23ED"/>
    <w:rsid w:val="004F2989"/>
    <w:rsid w:val="0052107B"/>
    <w:rsid w:val="005234CD"/>
    <w:rsid w:val="00532089"/>
    <w:rsid w:val="005404CB"/>
    <w:rsid w:val="005820A0"/>
    <w:rsid w:val="00586B4B"/>
    <w:rsid w:val="005873B0"/>
    <w:rsid w:val="005904B2"/>
    <w:rsid w:val="00592F07"/>
    <w:rsid w:val="00593C9F"/>
    <w:rsid w:val="005A0BDA"/>
    <w:rsid w:val="005A3D14"/>
    <w:rsid w:val="005A4C58"/>
    <w:rsid w:val="005B5258"/>
    <w:rsid w:val="005C66E1"/>
    <w:rsid w:val="005E43B3"/>
    <w:rsid w:val="005E7651"/>
    <w:rsid w:val="005F41D0"/>
    <w:rsid w:val="005F55DC"/>
    <w:rsid w:val="00623E9E"/>
    <w:rsid w:val="00625CA3"/>
    <w:rsid w:val="00627052"/>
    <w:rsid w:val="00632266"/>
    <w:rsid w:val="00641262"/>
    <w:rsid w:val="00652335"/>
    <w:rsid w:val="0067428C"/>
    <w:rsid w:val="006825FC"/>
    <w:rsid w:val="00691BA5"/>
    <w:rsid w:val="006B21A0"/>
    <w:rsid w:val="006C0A65"/>
    <w:rsid w:val="006C533B"/>
    <w:rsid w:val="006C6ECE"/>
    <w:rsid w:val="006D16C7"/>
    <w:rsid w:val="006D1DFA"/>
    <w:rsid w:val="006D2C8A"/>
    <w:rsid w:val="006D2D64"/>
    <w:rsid w:val="006E2EF5"/>
    <w:rsid w:val="006E62F7"/>
    <w:rsid w:val="006F1989"/>
    <w:rsid w:val="00713105"/>
    <w:rsid w:val="00720580"/>
    <w:rsid w:val="00726351"/>
    <w:rsid w:val="007448E4"/>
    <w:rsid w:val="00752F62"/>
    <w:rsid w:val="00754027"/>
    <w:rsid w:val="007554BE"/>
    <w:rsid w:val="00766B1A"/>
    <w:rsid w:val="00770B4A"/>
    <w:rsid w:val="00773E8D"/>
    <w:rsid w:val="00777195"/>
    <w:rsid w:val="0079405E"/>
    <w:rsid w:val="00795836"/>
    <w:rsid w:val="007A0964"/>
    <w:rsid w:val="007A0BE6"/>
    <w:rsid w:val="007B1DCA"/>
    <w:rsid w:val="007C1ABC"/>
    <w:rsid w:val="007D30C1"/>
    <w:rsid w:val="007F5784"/>
    <w:rsid w:val="0083181F"/>
    <w:rsid w:val="00832938"/>
    <w:rsid w:val="00840FC8"/>
    <w:rsid w:val="008413EF"/>
    <w:rsid w:val="0084417F"/>
    <w:rsid w:val="008452C8"/>
    <w:rsid w:val="00845F24"/>
    <w:rsid w:val="00850929"/>
    <w:rsid w:val="00860DE0"/>
    <w:rsid w:val="00864670"/>
    <w:rsid w:val="00865A78"/>
    <w:rsid w:val="00866666"/>
    <w:rsid w:val="0086679E"/>
    <w:rsid w:val="00871DCF"/>
    <w:rsid w:val="008752F5"/>
    <w:rsid w:val="008761FA"/>
    <w:rsid w:val="0088219D"/>
    <w:rsid w:val="00892F37"/>
    <w:rsid w:val="008B5FC5"/>
    <w:rsid w:val="008B7F9B"/>
    <w:rsid w:val="008C5361"/>
    <w:rsid w:val="008C7452"/>
    <w:rsid w:val="008D0303"/>
    <w:rsid w:val="008D05C8"/>
    <w:rsid w:val="008D44E2"/>
    <w:rsid w:val="0090254F"/>
    <w:rsid w:val="00904A22"/>
    <w:rsid w:val="00910C90"/>
    <w:rsid w:val="009144BA"/>
    <w:rsid w:val="00941874"/>
    <w:rsid w:val="0094356F"/>
    <w:rsid w:val="00945147"/>
    <w:rsid w:val="00980902"/>
    <w:rsid w:val="0098098F"/>
    <w:rsid w:val="00981AAC"/>
    <w:rsid w:val="00996457"/>
    <w:rsid w:val="009A2569"/>
    <w:rsid w:val="009B04E2"/>
    <w:rsid w:val="009B199C"/>
    <w:rsid w:val="009B596B"/>
    <w:rsid w:val="009C3A5E"/>
    <w:rsid w:val="009D7E2D"/>
    <w:rsid w:val="009E747C"/>
    <w:rsid w:val="00A02A59"/>
    <w:rsid w:val="00A073FB"/>
    <w:rsid w:val="00A124AE"/>
    <w:rsid w:val="00A20E9D"/>
    <w:rsid w:val="00A230A4"/>
    <w:rsid w:val="00A26A65"/>
    <w:rsid w:val="00A272B2"/>
    <w:rsid w:val="00A30FAD"/>
    <w:rsid w:val="00A33529"/>
    <w:rsid w:val="00A50553"/>
    <w:rsid w:val="00A5081E"/>
    <w:rsid w:val="00A512D0"/>
    <w:rsid w:val="00A71030"/>
    <w:rsid w:val="00A81F18"/>
    <w:rsid w:val="00A832E6"/>
    <w:rsid w:val="00A94349"/>
    <w:rsid w:val="00AC7540"/>
    <w:rsid w:val="00AD28C9"/>
    <w:rsid w:val="00AE5791"/>
    <w:rsid w:val="00AF6DC1"/>
    <w:rsid w:val="00AF7CA7"/>
    <w:rsid w:val="00B11B7E"/>
    <w:rsid w:val="00B16AE4"/>
    <w:rsid w:val="00B203DA"/>
    <w:rsid w:val="00B21DC6"/>
    <w:rsid w:val="00B227BF"/>
    <w:rsid w:val="00B47C02"/>
    <w:rsid w:val="00B518C9"/>
    <w:rsid w:val="00B51A72"/>
    <w:rsid w:val="00B73BE7"/>
    <w:rsid w:val="00B80EC0"/>
    <w:rsid w:val="00B83272"/>
    <w:rsid w:val="00B8503F"/>
    <w:rsid w:val="00B87220"/>
    <w:rsid w:val="00B95DFE"/>
    <w:rsid w:val="00B97319"/>
    <w:rsid w:val="00BA081D"/>
    <w:rsid w:val="00BA2F3D"/>
    <w:rsid w:val="00BA71AC"/>
    <w:rsid w:val="00BB020C"/>
    <w:rsid w:val="00BB1131"/>
    <w:rsid w:val="00BB118B"/>
    <w:rsid w:val="00BB17B1"/>
    <w:rsid w:val="00BB7501"/>
    <w:rsid w:val="00BC003D"/>
    <w:rsid w:val="00BC15D3"/>
    <w:rsid w:val="00BC1D26"/>
    <w:rsid w:val="00BC5818"/>
    <w:rsid w:val="00BC6AA1"/>
    <w:rsid w:val="00BD3C24"/>
    <w:rsid w:val="00BD6AD8"/>
    <w:rsid w:val="00BE1F8F"/>
    <w:rsid w:val="00BE37B5"/>
    <w:rsid w:val="00BE54B3"/>
    <w:rsid w:val="00C008B4"/>
    <w:rsid w:val="00C05074"/>
    <w:rsid w:val="00C17ABD"/>
    <w:rsid w:val="00C26C67"/>
    <w:rsid w:val="00C3059A"/>
    <w:rsid w:val="00C4084F"/>
    <w:rsid w:val="00C417FE"/>
    <w:rsid w:val="00C43D3E"/>
    <w:rsid w:val="00C52092"/>
    <w:rsid w:val="00C63C88"/>
    <w:rsid w:val="00C65E51"/>
    <w:rsid w:val="00C65EA7"/>
    <w:rsid w:val="00C67580"/>
    <w:rsid w:val="00C67D5A"/>
    <w:rsid w:val="00C77862"/>
    <w:rsid w:val="00C804F4"/>
    <w:rsid w:val="00C8173B"/>
    <w:rsid w:val="00C821A5"/>
    <w:rsid w:val="00C87D91"/>
    <w:rsid w:val="00C94866"/>
    <w:rsid w:val="00CC44CF"/>
    <w:rsid w:val="00CF233F"/>
    <w:rsid w:val="00D03AEC"/>
    <w:rsid w:val="00D1047D"/>
    <w:rsid w:val="00D24919"/>
    <w:rsid w:val="00D26CB8"/>
    <w:rsid w:val="00D43613"/>
    <w:rsid w:val="00D5795F"/>
    <w:rsid w:val="00D615E8"/>
    <w:rsid w:val="00D63232"/>
    <w:rsid w:val="00D6450A"/>
    <w:rsid w:val="00D66820"/>
    <w:rsid w:val="00D7076A"/>
    <w:rsid w:val="00D7172A"/>
    <w:rsid w:val="00D81F5E"/>
    <w:rsid w:val="00D92269"/>
    <w:rsid w:val="00D92715"/>
    <w:rsid w:val="00DC329C"/>
    <w:rsid w:val="00DC348C"/>
    <w:rsid w:val="00DC45BC"/>
    <w:rsid w:val="00DE176A"/>
    <w:rsid w:val="00DE2D96"/>
    <w:rsid w:val="00DE7710"/>
    <w:rsid w:val="00DF0344"/>
    <w:rsid w:val="00DF3CEF"/>
    <w:rsid w:val="00E00A6B"/>
    <w:rsid w:val="00E13806"/>
    <w:rsid w:val="00E14D8E"/>
    <w:rsid w:val="00E16E3C"/>
    <w:rsid w:val="00E348EA"/>
    <w:rsid w:val="00E36EF0"/>
    <w:rsid w:val="00E44ADA"/>
    <w:rsid w:val="00E55DDF"/>
    <w:rsid w:val="00E57BB9"/>
    <w:rsid w:val="00E624FB"/>
    <w:rsid w:val="00E77899"/>
    <w:rsid w:val="00E83667"/>
    <w:rsid w:val="00E9219E"/>
    <w:rsid w:val="00EA3596"/>
    <w:rsid w:val="00EB5E2E"/>
    <w:rsid w:val="00EB629E"/>
    <w:rsid w:val="00EC0F9A"/>
    <w:rsid w:val="00EC5572"/>
    <w:rsid w:val="00ED1DE3"/>
    <w:rsid w:val="00EE160A"/>
    <w:rsid w:val="00EE5F16"/>
    <w:rsid w:val="00EF40DB"/>
    <w:rsid w:val="00F02BB5"/>
    <w:rsid w:val="00F23122"/>
    <w:rsid w:val="00F250D5"/>
    <w:rsid w:val="00F54496"/>
    <w:rsid w:val="00F54B68"/>
    <w:rsid w:val="00F60997"/>
    <w:rsid w:val="00F617CE"/>
    <w:rsid w:val="00F70422"/>
    <w:rsid w:val="00F83C17"/>
    <w:rsid w:val="00F84774"/>
    <w:rsid w:val="00F93648"/>
    <w:rsid w:val="00F96D7F"/>
    <w:rsid w:val="00FA33C4"/>
    <w:rsid w:val="00FA4B28"/>
    <w:rsid w:val="00FA7642"/>
    <w:rsid w:val="00FA7854"/>
    <w:rsid w:val="00FC456F"/>
    <w:rsid w:val="00FD106B"/>
    <w:rsid w:val="00FD5458"/>
    <w:rsid w:val="00FF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82DD4D"/>
  <w15:chartTrackingRefBased/>
  <w15:docId w15:val="{CC2967CE-8393-4E48-B2BE-AAD92919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C0"/>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D7AC0"/>
    <w:pPr>
      <w:numPr>
        <w:numId w:val="1"/>
      </w:numPr>
      <w:ind w:left="567" w:hanging="567"/>
      <w:outlineLvl w:val="0"/>
    </w:pPr>
    <w:rPr>
      <w:kern w:val="28"/>
    </w:rPr>
  </w:style>
  <w:style w:type="paragraph" w:styleId="Heading2">
    <w:name w:val="heading 2"/>
    <w:basedOn w:val="Normal"/>
    <w:next w:val="Normal"/>
    <w:link w:val="Heading2Char"/>
    <w:qFormat/>
    <w:rsid w:val="004D7AC0"/>
    <w:pPr>
      <w:numPr>
        <w:ilvl w:val="1"/>
        <w:numId w:val="1"/>
      </w:numPr>
      <w:ind w:left="567" w:hanging="567"/>
      <w:outlineLvl w:val="1"/>
    </w:pPr>
  </w:style>
  <w:style w:type="paragraph" w:styleId="Heading3">
    <w:name w:val="heading 3"/>
    <w:basedOn w:val="Normal"/>
    <w:next w:val="Normal"/>
    <w:link w:val="Heading3Char"/>
    <w:qFormat/>
    <w:rsid w:val="004D7AC0"/>
    <w:pPr>
      <w:numPr>
        <w:ilvl w:val="2"/>
        <w:numId w:val="1"/>
      </w:numPr>
      <w:ind w:left="567" w:hanging="567"/>
      <w:outlineLvl w:val="2"/>
    </w:pPr>
  </w:style>
  <w:style w:type="paragraph" w:styleId="Heading4">
    <w:name w:val="heading 4"/>
    <w:basedOn w:val="Normal"/>
    <w:next w:val="Normal"/>
    <w:link w:val="Heading4Char"/>
    <w:qFormat/>
    <w:rsid w:val="004D7AC0"/>
    <w:pPr>
      <w:numPr>
        <w:ilvl w:val="3"/>
        <w:numId w:val="1"/>
      </w:numPr>
      <w:ind w:left="567" w:hanging="567"/>
      <w:outlineLvl w:val="3"/>
    </w:pPr>
  </w:style>
  <w:style w:type="paragraph" w:styleId="Heading5">
    <w:name w:val="heading 5"/>
    <w:basedOn w:val="Normal"/>
    <w:next w:val="Normal"/>
    <w:link w:val="Heading5Char"/>
    <w:qFormat/>
    <w:rsid w:val="004D7AC0"/>
    <w:pPr>
      <w:numPr>
        <w:ilvl w:val="4"/>
        <w:numId w:val="1"/>
      </w:numPr>
      <w:ind w:left="567" w:hanging="567"/>
      <w:outlineLvl w:val="4"/>
    </w:pPr>
  </w:style>
  <w:style w:type="paragraph" w:styleId="Heading6">
    <w:name w:val="heading 6"/>
    <w:basedOn w:val="Normal"/>
    <w:next w:val="Normal"/>
    <w:link w:val="Heading6Char"/>
    <w:qFormat/>
    <w:rsid w:val="004D7AC0"/>
    <w:pPr>
      <w:numPr>
        <w:ilvl w:val="5"/>
        <w:numId w:val="1"/>
      </w:numPr>
      <w:ind w:left="567" w:hanging="567"/>
      <w:outlineLvl w:val="5"/>
    </w:pPr>
  </w:style>
  <w:style w:type="paragraph" w:styleId="Heading7">
    <w:name w:val="heading 7"/>
    <w:basedOn w:val="Normal"/>
    <w:next w:val="Normal"/>
    <w:link w:val="Heading7Char"/>
    <w:qFormat/>
    <w:rsid w:val="004D7AC0"/>
    <w:pPr>
      <w:numPr>
        <w:ilvl w:val="6"/>
        <w:numId w:val="1"/>
      </w:numPr>
      <w:ind w:left="567" w:hanging="567"/>
      <w:outlineLvl w:val="6"/>
    </w:pPr>
  </w:style>
  <w:style w:type="paragraph" w:styleId="Heading8">
    <w:name w:val="heading 8"/>
    <w:basedOn w:val="Normal"/>
    <w:next w:val="Normal"/>
    <w:link w:val="Heading8Char"/>
    <w:qFormat/>
    <w:rsid w:val="004D7AC0"/>
    <w:pPr>
      <w:numPr>
        <w:ilvl w:val="7"/>
        <w:numId w:val="1"/>
      </w:numPr>
      <w:ind w:left="567" w:hanging="567"/>
      <w:outlineLvl w:val="7"/>
    </w:pPr>
  </w:style>
  <w:style w:type="paragraph" w:styleId="Heading9">
    <w:name w:val="heading 9"/>
    <w:basedOn w:val="Normal"/>
    <w:next w:val="Normal"/>
    <w:link w:val="Heading9Char"/>
    <w:qFormat/>
    <w:rsid w:val="004D7AC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AC0"/>
    <w:rPr>
      <w:rFonts w:ascii="Times New Roman" w:eastAsia="Times New Roman" w:hAnsi="Times New Roman" w:cs="Times New Roman"/>
      <w:kern w:val="28"/>
    </w:rPr>
  </w:style>
  <w:style w:type="character" w:customStyle="1" w:styleId="Heading2Char">
    <w:name w:val="Heading 2 Char"/>
    <w:basedOn w:val="DefaultParagraphFont"/>
    <w:link w:val="Heading2"/>
    <w:rsid w:val="004D7AC0"/>
    <w:rPr>
      <w:rFonts w:ascii="Times New Roman" w:eastAsia="Times New Roman" w:hAnsi="Times New Roman" w:cs="Times New Roman"/>
    </w:rPr>
  </w:style>
  <w:style w:type="character" w:customStyle="1" w:styleId="Heading3Char">
    <w:name w:val="Heading 3 Char"/>
    <w:basedOn w:val="DefaultParagraphFont"/>
    <w:link w:val="Heading3"/>
    <w:rsid w:val="004D7AC0"/>
    <w:rPr>
      <w:rFonts w:ascii="Times New Roman" w:eastAsia="Times New Roman" w:hAnsi="Times New Roman" w:cs="Times New Roman"/>
    </w:rPr>
  </w:style>
  <w:style w:type="character" w:customStyle="1" w:styleId="Heading4Char">
    <w:name w:val="Heading 4 Char"/>
    <w:basedOn w:val="DefaultParagraphFont"/>
    <w:link w:val="Heading4"/>
    <w:rsid w:val="004D7AC0"/>
    <w:rPr>
      <w:rFonts w:ascii="Times New Roman" w:eastAsia="Times New Roman" w:hAnsi="Times New Roman" w:cs="Times New Roman"/>
    </w:rPr>
  </w:style>
  <w:style w:type="character" w:customStyle="1" w:styleId="Heading5Char">
    <w:name w:val="Heading 5 Char"/>
    <w:basedOn w:val="DefaultParagraphFont"/>
    <w:link w:val="Heading5"/>
    <w:rsid w:val="004D7AC0"/>
    <w:rPr>
      <w:rFonts w:ascii="Times New Roman" w:eastAsia="Times New Roman" w:hAnsi="Times New Roman" w:cs="Times New Roman"/>
    </w:rPr>
  </w:style>
  <w:style w:type="character" w:customStyle="1" w:styleId="Heading6Char">
    <w:name w:val="Heading 6 Char"/>
    <w:basedOn w:val="DefaultParagraphFont"/>
    <w:link w:val="Heading6"/>
    <w:rsid w:val="004D7AC0"/>
    <w:rPr>
      <w:rFonts w:ascii="Times New Roman" w:eastAsia="Times New Roman" w:hAnsi="Times New Roman" w:cs="Times New Roman"/>
    </w:rPr>
  </w:style>
  <w:style w:type="character" w:customStyle="1" w:styleId="Heading7Char">
    <w:name w:val="Heading 7 Char"/>
    <w:basedOn w:val="DefaultParagraphFont"/>
    <w:link w:val="Heading7"/>
    <w:rsid w:val="004D7AC0"/>
    <w:rPr>
      <w:rFonts w:ascii="Times New Roman" w:eastAsia="Times New Roman" w:hAnsi="Times New Roman" w:cs="Times New Roman"/>
    </w:rPr>
  </w:style>
  <w:style w:type="character" w:customStyle="1" w:styleId="Heading8Char">
    <w:name w:val="Heading 8 Char"/>
    <w:basedOn w:val="DefaultParagraphFont"/>
    <w:link w:val="Heading8"/>
    <w:rsid w:val="004D7AC0"/>
    <w:rPr>
      <w:rFonts w:ascii="Times New Roman" w:eastAsia="Times New Roman" w:hAnsi="Times New Roman" w:cs="Times New Roman"/>
    </w:rPr>
  </w:style>
  <w:style w:type="character" w:customStyle="1" w:styleId="Heading9Char">
    <w:name w:val="Heading 9 Char"/>
    <w:basedOn w:val="DefaultParagraphFont"/>
    <w:link w:val="Heading9"/>
    <w:rsid w:val="004D7AC0"/>
    <w:rPr>
      <w:rFonts w:ascii="Times New Roman" w:eastAsia="Times New Roman" w:hAnsi="Times New Roman" w:cs="Times New Roman"/>
    </w:rPr>
  </w:style>
  <w:style w:type="paragraph" w:styleId="Footer">
    <w:name w:val="footer"/>
    <w:basedOn w:val="Normal"/>
    <w:link w:val="FooterChar"/>
    <w:qFormat/>
    <w:rsid w:val="004D7AC0"/>
  </w:style>
  <w:style w:type="character" w:customStyle="1" w:styleId="FooterChar">
    <w:name w:val="Footer Char"/>
    <w:basedOn w:val="DefaultParagraphFont"/>
    <w:link w:val="Footer"/>
    <w:rsid w:val="004D7AC0"/>
    <w:rPr>
      <w:rFonts w:ascii="Times New Roman" w:eastAsia="Times New Roman" w:hAnsi="Times New Roman" w:cs="Times New Roman"/>
    </w:rPr>
  </w:style>
  <w:style w:type="paragraph" w:styleId="FootnoteText">
    <w:name w:val="footnote text"/>
    <w:basedOn w:val="Normal"/>
    <w:link w:val="FootnoteTextChar"/>
    <w:qFormat/>
    <w:rsid w:val="004D7AC0"/>
    <w:pPr>
      <w:keepLines/>
      <w:spacing w:after="60" w:line="240" w:lineRule="auto"/>
      <w:ind w:left="567" w:hanging="567"/>
    </w:pPr>
    <w:rPr>
      <w:sz w:val="16"/>
    </w:rPr>
  </w:style>
  <w:style w:type="character" w:customStyle="1" w:styleId="FootnoteTextChar">
    <w:name w:val="Footnote Text Char"/>
    <w:basedOn w:val="DefaultParagraphFont"/>
    <w:link w:val="FootnoteText"/>
    <w:rsid w:val="004D7AC0"/>
    <w:rPr>
      <w:rFonts w:ascii="Times New Roman" w:eastAsia="Times New Roman" w:hAnsi="Times New Roman" w:cs="Times New Roman"/>
      <w:sz w:val="16"/>
    </w:rPr>
  </w:style>
  <w:style w:type="paragraph" w:styleId="Header">
    <w:name w:val="header"/>
    <w:basedOn w:val="Normal"/>
    <w:link w:val="HeaderChar"/>
    <w:qFormat/>
    <w:rsid w:val="004D7AC0"/>
  </w:style>
  <w:style w:type="character" w:customStyle="1" w:styleId="HeaderChar">
    <w:name w:val="Header Char"/>
    <w:basedOn w:val="DefaultParagraphFont"/>
    <w:link w:val="Header"/>
    <w:rsid w:val="004D7AC0"/>
    <w:rPr>
      <w:rFonts w:ascii="Times New Roman" w:eastAsia="Times New Roman" w:hAnsi="Times New Roman" w:cs="Times New Roman"/>
    </w:rPr>
  </w:style>
  <w:style w:type="paragraph" w:customStyle="1" w:styleId="quotes">
    <w:name w:val="quotes"/>
    <w:basedOn w:val="Normal"/>
    <w:next w:val="Normal"/>
    <w:rsid w:val="004D7AC0"/>
    <w:pPr>
      <w:ind w:left="720"/>
    </w:pPr>
    <w:rPr>
      <w:i/>
    </w:rPr>
  </w:style>
  <w:style w:type="character" w:styleId="FootnoteReference">
    <w:name w:val="footnote reference"/>
    <w:basedOn w:val="DefaultParagraphFont"/>
    <w:unhideWhenUsed/>
    <w:qFormat/>
    <w:rsid w:val="004D7AC0"/>
    <w:rPr>
      <w:sz w:val="24"/>
      <w:vertAlign w:val="superscript"/>
    </w:rPr>
  </w:style>
  <w:style w:type="character" w:styleId="Hyperlink">
    <w:name w:val="Hyperlink"/>
    <w:basedOn w:val="DefaultParagraphFont"/>
    <w:uiPriority w:val="99"/>
    <w:rsid w:val="004D7AC0"/>
    <w:rPr>
      <w:rFonts w:ascii="Times New Roman" w:hAnsi="Times New Roman"/>
      <w:color w:val="0000FF"/>
      <w:u w:val="single"/>
    </w:rPr>
  </w:style>
  <w:style w:type="table" w:styleId="TableGrid">
    <w:name w:val="Table Grid"/>
    <w:basedOn w:val="TableNormal"/>
    <w:rsid w:val="004D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7AC0"/>
    <w:pPr>
      <w:keepNext/>
      <w:keepLines/>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TOC1">
    <w:name w:val="toc 1"/>
    <w:basedOn w:val="Normal"/>
    <w:next w:val="Normal"/>
    <w:autoRedefine/>
    <w:uiPriority w:val="39"/>
    <w:unhideWhenUsed/>
    <w:rsid w:val="004D7AC0"/>
    <w:pPr>
      <w:spacing w:after="100"/>
    </w:pPr>
  </w:style>
  <w:style w:type="character" w:styleId="FollowedHyperlink">
    <w:name w:val="FollowedHyperlink"/>
    <w:basedOn w:val="DefaultParagraphFont"/>
    <w:uiPriority w:val="99"/>
    <w:semiHidden/>
    <w:unhideWhenUsed/>
    <w:rsid w:val="00B518C9"/>
    <w:rPr>
      <w:color w:val="954F72" w:themeColor="followedHyperlink"/>
      <w:u w:val="single"/>
    </w:rPr>
  </w:style>
  <w:style w:type="paragraph" w:styleId="Revision">
    <w:name w:val="Revision"/>
    <w:hidden/>
    <w:uiPriority w:val="99"/>
    <w:semiHidden/>
    <w:rsid w:val="006C6ECE"/>
    <w:pPr>
      <w:spacing w:after="0" w:line="240" w:lineRule="auto"/>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1131B6"/>
    <w:rPr>
      <w:color w:val="605E5C"/>
      <w:shd w:val="clear" w:color="auto" w:fill="E1DFDD"/>
    </w:rPr>
  </w:style>
  <w:style w:type="paragraph" w:styleId="ListParagraph">
    <w:name w:val="List Paragraph"/>
    <w:basedOn w:val="Normal"/>
    <w:uiPriority w:val="34"/>
    <w:qFormat/>
    <w:rsid w:val="00652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esc.europa.eu/en/our-work/opinions-information-reports/plenary-session-summaries" TargetMode="External"/><Relationship Id="rId18" Type="http://schemas.openxmlformats.org/officeDocument/2006/relationships/footer" Target="footer2.xml"/><Relationship Id="rId26" Type="http://schemas.openxmlformats.org/officeDocument/2006/relationships/hyperlink" Target="mailto:Gerald.Klec@eesc.europa.eu" TargetMode="External"/><Relationship Id="rId39" Type="http://schemas.openxmlformats.org/officeDocument/2006/relationships/hyperlink" Target="https://www.eesc.europa.eu/en/initiatives/eu-youth-test-eesc" TargetMode="External"/><Relationship Id="rId21" Type="http://schemas.openxmlformats.org/officeDocument/2006/relationships/hyperlink" Target="https://www.eesc.europa.eu/en/our-work/opinions-information-reports/opinions/2025-european-semester-autumn-package" TargetMode="External"/><Relationship Id="rId34" Type="http://schemas.openxmlformats.org/officeDocument/2006/relationships/hyperlink" Target="mailto:Gabriela.Grasu@eesc.europa.eu" TargetMode="External"/><Relationship Id="rId42" Type="http://schemas.openxmlformats.org/officeDocument/2006/relationships/hyperlink" Target="https://www.eesc.europa.eu/en/our-work/opinions-information-reports/opinions/assessment-letta-and-draghi-reports-functioning-and-competitiveness-eus-single-market" TargetMode="External"/><Relationship Id="rId47" Type="http://schemas.openxmlformats.org/officeDocument/2006/relationships/hyperlink" Target="https://www.eesc.europa.eu/en/our-work/opinions-information-reports/opinions/services-sector-european-union" TargetMode="External"/><Relationship Id="rId50" Type="http://schemas.openxmlformats.org/officeDocument/2006/relationships/hyperlink" Target="mailto:Silvia.Staffa@eesc.europa.eu" TargetMode="External"/><Relationship Id="rId55" Type="http://schemas.openxmlformats.org/officeDocument/2006/relationships/hyperlink" Target="https://www.eesc.europa.eu/en/our-work/opinions-information-reports/opinions/contribution-robotics-metaverse-medical-sector"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s://www.eesc.europa.eu/en/our-work/opinions-information-reports/opinions/addressing-loneliness-cementing-measures-demographic-cohesion" TargetMode="External"/><Relationship Id="rId11" Type="http://schemas.openxmlformats.org/officeDocument/2006/relationships/endnotes" Target="endnotes.xml"/><Relationship Id="rId24" Type="http://schemas.openxmlformats.org/officeDocument/2006/relationships/hyperlink" Target="mailto:Juri.Soosaar@eesc.europa.eu" TargetMode="External"/><Relationship Id="rId32" Type="http://schemas.openxmlformats.org/officeDocument/2006/relationships/hyperlink" Target="mailto:Grasu.Gabriela@eesc.europa.eu" TargetMode="External"/><Relationship Id="rId37" Type="http://schemas.openxmlformats.org/officeDocument/2006/relationships/hyperlink" Target="mailto:Albert.Precup@eesc.europa.eu" TargetMode="External"/><Relationship Id="rId40" Type="http://schemas.openxmlformats.org/officeDocument/2006/relationships/hyperlink" Target="mailto:Radoslava.Stefankova@eesc.europa.eu" TargetMode="External"/><Relationship Id="rId45" Type="http://schemas.openxmlformats.org/officeDocument/2006/relationships/hyperlink" Target="https://www.eesc.europa.eu/en/our-work/opinions-information-reports/opinions/competitiveness-eus-small-and-medium-sized-enterprises-light-new-administrative-burdensobligations-eg-relating-non" TargetMode="External"/><Relationship Id="rId53" Type="http://schemas.openxmlformats.org/officeDocument/2006/relationships/hyperlink" Target="https://www.eesc.europa.eu/en/our-work/opinions-information-reports/opinions/ensuring-sustainable-food-production-and-fair-income-european-farmers-face-market-environmental-and-climate-challenges" TargetMode="External"/><Relationship Id="rId58" Type="http://schemas.openxmlformats.org/officeDocument/2006/relationships/header" Target="header5.xml"/><Relationship Id="rId66" Type="http://schemas.openxmlformats.org/officeDocument/2006/relationships/customXml" Target="../customXml/item2.xml"/><Relationship Id="rId61" Type="http://schemas.openxmlformats.org/officeDocument/2006/relationships/header" Target="header6.xml"/><Relationship Id="rId19" Type="http://schemas.openxmlformats.org/officeDocument/2006/relationships/header" Target="header3.xml"/><Relationship Id="rId14" Type="http://schemas.openxmlformats.org/officeDocument/2006/relationships/hyperlink" Target="https://dmsearch.eesc.europa.eu/search/opinion" TargetMode="External"/><Relationship Id="rId22" Type="http://schemas.openxmlformats.org/officeDocument/2006/relationships/hyperlink" Target="mailto:Anna.Pantazi@eesc.europa.eu" TargetMode="External"/><Relationship Id="rId27" Type="http://schemas.openxmlformats.org/officeDocument/2006/relationships/hyperlink" Target="https://www.eesc.europa.eu/en/our-work/opinions-information-reports/opinions/strengthening-results-orientation-post-2027-cohesion-policy-challenges-risks-and-opportunities" TargetMode="External"/><Relationship Id="rId30" Type="http://schemas.openxmlformats.org/officeDocument/2006/relationships/hyperlink" Target="mailto:Valeria.Atzori@eesc.europa.eu" TargetMode="External"/><Relationship Id="rId35" Type="http://schemas.openxmlformats.org/officeDocument/2006/relationships/hyperlink" Target="mailto:Triin.AasmaaGomes@eesc.europa.eu" TargetMode="External"/><Relationship Id="rId43" Type="http://schemas.openxmlformats.org/officeDocument/2006/relationships/hyperlink" Target="mailto:Annalisa.Tessarolo@eesc.europa.eu" TargetMode="External"/><Relationship Id="rId48" Type="http://schemas.openxmlformats.org/officeDocument/2006/relationships/hyperlink" Target="mailto:Annalisa.Tessarolo@eesc.europa.eu" TargetMode="External"/><Relationship Id="rId56" Type="http://schemas.openxmlformats.org/officeDocument/2006/relationships/hyperlink" Target="mailto:Marie-Laurence.Drillon@eesc.europa.eu"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eesc.europa.eu/en/our-work/opinions-information-reports/opinions/tourism-eu-social-sustainability-driver-long-term-competitiveness-sector" TargetMode="Externa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eesc.europa.eu/en/our-work/opinions-information-reports/opinions/defence-funding-eu" TargetMode="External"/><Relationship Id="rId33" Type="http://schemas.openxmlformats.org/officeDocument/2006/relationships/hyperlink" Target="https://www.eesc.europa.eu/en/our-work/opinions-information-reports/opinions/eesc-contribution-eus-priorities-uncsw69" TargetMode="External"/><Relationship Id="rId38" Type="http://schemas.openxmlformats.org/officeDocument/2006/relationships/hyperlink" Target="https://www.eesc.europa.eu/en/our-work/opinions-information-reports/opinions/consumer-protection-and-impact-digital-and-green-transitions-consumers" TargetMode="External"/><Relationship Id="rId46" Type="http://schemas.openxmlformats.org/officeDocument/2006/relationships/hyperlink" Target="mailto:Marco.Manfroni@eesc.europa.eu" TargetMode="External"/><Relationship Id="rId59" Type="http://schemas.openxmlformats.org/officeDocument/2006/relationships/footer" Target="footer4.xml"/><Relationship Id="rId67" Type="http://schemas.openxmlformats.org/officeDocument/2006/relationships/customXml" Target="../customXml/item3.xml"/><Relationship Id="rId20" Type="http://schemas.openxmlformats.org/officeDocument/2006/relationships/footer" Target="footer3.xml"/><Relationship Id="rId41" Type="http://schemas.openxmlformats.org/officeDocument/2006/relationships/hyperlink" Target="mailto:Yousra.Asbounielouahabi@eesc.europa.eu" TargetMode="External"/><Relationship Id="rId54" Type="http://schemas.openxmlformats.org/officeDocument/2006/relationships/hyperlink" Target="mailto:Myrto.Kolyva@eesc.europa.eu" TargetMode="External"/><Relationship Id="rId62" Type="http://schemas.openxmlformats.org/officeDocument/2006/relationships/footer" Target="footer6.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esc.europa.eu/en/our-work/opinions-information-reports/opinions/administrative-cooperation-field-taxation-dac9" TargetMode="External"/><Relationship Id="rId28" Type="http://schemas.openxmlformats.org/officeDocument/2006/relationships/hyperlink" Target="mailto:Georgios.Meleas@eesc.europa.eu" TargetMode="External"/><Relationship Id="rId36" Type="http://schemas.openxmlformats.org/officeDocument/2006/relationships/hyperlink" Target="https://www.eesc.europa.eu/en/our-work/opinions-information-reports/opinions/physical-completion-eus-internal-market-new-geopolitical-situation" TargetMode="External"/><Relationship Id="rId49" Type="http://schemas.openxmlformats.org/officeDocument/2006/relationships/hyperlink" Target="https://www.eesc.europa.eu/en/our-work/opinions-information-reports/opinions/future-eu-industry-face-high-energy-prices-and-transition-costs" TargetMode="External"/><Relationship Id="rId57" Type="http://schemas.openxmlformats.org/officeDocument/2006/relationships/header" Target="header4.xml"/><Relationship Id="rId10" Type="http://schemas.openxmlformats.org/officeDocument/2006/relationships/footnotes" Target="footnotes.xml"/><Relationship Id="rId31" Type="http://schemas.openxmlformats.org/officeDocument/2006/relationships/hyperlink" Target="https://www.eesc.europa.eu/mt/our-work/opinions-information-reports/opinions/violence-against-women-human-rights-issue-state-play-measures-across-eu" TargetMode="External"/><Relationship Id="rId44" Type="http://schemas.openxmlformats.org/officeDocument/2006/relationships/hyperlink" Target="mailto:Silvia.Staffa@eesc.europa.eu" TargetMode="External"/><Relationship Id="rId52" Type="http://schemas.openxmlformats.org/officeDocument/2006/relationships/hyperlink" Target="mailto:Silvia.Staffa@eesc.europa.eu" TargetMode="External"/><Relationship Id="rId60" Type="http://schemas.openxmlformats.org/officeDocument/2006/relationships/footer" Target="footer5.xml"/><Relationship Id="rId65" Type="http://schemas.openxmlformats.org/officeDocument/2006/relationships/customXml" Target="../customXml/item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6BB3B767F3CF4149BF520211D4A86BC0" ma:contentTypeVersion="4" ma:contentTypeDescription="Defines the documents for Document Manager V2" ma:contentTypeScope="" ma:versionID="8f2b3a3e062f062a7ee8ba210ef02323">
  <xsd:schema xmlns:xsd="http://www.w3.org/2001/XMLSchema" xmlns:xs="http://www.w3.org/2001/XMLSchema" xmlns:p="http://schemas.microsoft.com/office/2006/metadata/properties" xmlns:ns2="1a33af13-4045-4f88-9d7b-618e30f79918" xmlns:ns3="http://schemas.microsoft.com/sharepoint/v3/fields" xmlns:ns4="be3ca9a7-9286-4008-99ec-aebc20da9dc2" targetNamespace="http://schemas.microsoft.com/office/2006/metadata/properties" ma:root="true" ma:fieldsID="f021f5764e4548d9eb17bdf3b768072d" ns2:_="" ns3:_="" ns4:_="">
    <xsd:import namespace="1a33af13-4045-4f88-9d7b-618e30f79918"/>
    <xsd:import namespace="http://schemas.microsoft.com/sharepoint/v3/fields"/>
    <xsd:import namespace="be3ca9a7-9286-4008-99ec-aebc20da9dc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ca9a7-9286-4008-99ec-aebc20da9dc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A6WAAD5KZT2Q-604569563-4544</_dlc_DocId>
    <_dlc_DocIdUrl xmlns="1a33af13-4045-4f88-9d7b-618e30f79918">
      <Url>http://dm/eesc/2025/_layouts/15/DocIdRedir.aspx?ID=A6WAAD5KZT2Q-604569563-4544</Url>
      <Description>A6WAAD5KZT2Q-604569563-4544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cd9d6eb6-3f4f-424a-b2d1-57c9d450eaaf</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2025-03-12T12:00:00+00:00</ProductionDate>
    <FicheYear xmlns="1a33af13-4045-4f88-9d7b-618e30f79918" xsi:nil="true"/>
    <DocumentNumber xmlns="be3ca9a7-9286-4008-99ec-aebc20da9dc2">345</DocumentNumber>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2025-03-26T12:00:00+00:00</MeetingDate>
    <TaxCatchAll xmlns="1a33af13-4045-4f88-9d7b-618e30f79918">
      <Value>67</Value>
      <Value>50</Value>
      <Value>47</Value>
      <Value>46</Value>
      <Value>42</Value>
      <Value>41</Value>
      <Value>40</Value>
      <Value>39</Value>
      <Value>37</Value>
      <Value>36</Value>
      <Value>35</Value>
      <Value>34</Value>
      <Value>33</Value>
      <Value>31</Value>
      <Value>30</Value>
      <Value>29</Value>
      <Value>28</Value>
      <Value>27</Value>
      <Value>24</Value>
      <Value>23</Value>
      <Value>19</Value>
      <Value>16</Value>
      <Value>15</Value>
      <Value>13</Value>
      <Value>12</Value>
      <Value>8</Value>
      <Value>5</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2534</FicheNumber>
    <OriginalSender xmlns="1a33af13-4045-4f88-9d7b-618e30f79918">
      <UserInfo>
        <DisplayName>TDriveSVCUserProd</DisplayName>
        <AccountId>1358</AccountId>
        <AccountType/>
      </UserInfo>
    </OriginalSender>
    <DocumentPart xmlns="1a33af13-4045-4f88-9d7b-618e30f79918">0</DocumentPart>
    <AdoptionDate xmlns="1a33af13-4045-4f88-9d7b-618e30f79918" xsi:nil="true"/>
    <RequestingService xmlns="1a33af13-4045-4f88-9d7b-618e30f79918">Greffe</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e3ca9a7-9286-4008-99ec-aebc20da9dc2">595</MeetingNumber>
    <DossierName_0 xmlns="http://schemas.microsoft.com/sharepoint/v3/fields">
      <Terms xmlns="http://schemas.microsoft.com/office/infopath/2007/PartnerControls"/>
    </DossierName_0>
    <DocumentVersion xmlns="1a33af13-4045-4f88-9d7b-618e30f79918">1</DocumentVersion>
  </documentManagement>
</p:properties>
</file>

<file path=customXml/itemProps1.xml><?xml version="1.0" encoding="utf-8"?>
<ds:datastoreItem xmlns:ds="http://schemas.openxmlformats.org/officeDocument/2006/customXml" ds:itemID="{86FDD9DD-A834-43BB-AF86-862EC708A6C0}"/>
</file>

<file path=customXml/itemProps2.xml><?xml version="1.0" encoding="utf-8"?>
<ds:datastoreItem xmlns:ds="http://schemas.openxmlformats.org/officeDocument/2006/customXml" ds:itemID="{7B3C33DB-8572-4CF9-A913-7BE6F1739900}"/>
</file>

<file path=customXml/itemProps3.xml><?xml version="1.0" encoding="utf-8"?>
<ds:datastoreItem xmlns:ds="http://schemas.openxmlformats.org/officeDocument/2006/customXml" ds:itemID="{C6292506-AC9C-40E9-9319-32AC90DB2F9A}"/>
</file>

<file path=customXml/itemProps4.xml><?xml version="1.0" encoding="utf-8"?>
<ds:datastoreItem xmlns:ds="http://schemas.openxmlformats.org/officeDocument/2006/customXml" ds:itemID="{C89A2EF3-8952-4592-8421-B8EEC9474A4F}"/>
</file>

<file path=docProps/app.xml><?xml version="1.0" encoding="utf-8"?>
<Properties xmlns="http://schemas.openxmlformats.org/officeDocument/2006/extended-properties" xmlns:vt="http://schemas.openxmlformats.org/officeDocument/2006/docPropsVTypes">
  <Template>Normal</Template>
  <TotalTime>0</TotalTime>
  <Pages>2</Pages>
  <Words>6523</Words>
  <Characters>37186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Summary of opinions - 593rd plenary session - January 2025</vt:lpstr>
    </vt:vector>
  </TitlesOfParts>
  <Company>CESE-CdR</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opinions - 594th plenary session - February 2025 </dc:title>
  <dc:subject>Consultative work, various</dc:subject>
  <dc:creator>Nieddu Emma</dc:creator>
  <cp:keywords>EESC-2025-00345-00-01-TCD-TRA-EN</cp:keywords>
  <dc:description>Rapporteur: -  Original language: - EN Date of document: - 12/03/2025 Date of meeting: - 26/03/2025 External documents: -  Administrator responsible: - MME TAMASAUSKIENE Julija</dc:description>
  <cp:lastModifiedBy>TDriveSVCUserProd</cp:lastModifiedBy>
  <cp:revision>5</cp:revision>
  <dcterms:created xsi:type="dcterms:W3CDTF">2025-03-12T09:56:00Z</dcterms:created>
  <dcterms:modified xsi:type="dcterms:W3CDTF">2025-03-12T09:58:00Z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12/03/2025, 05/03/2025, 29/01/2025, 02/05/2022, 02/05/2022, 28/06/2021</vt:lpwstr>
  </property>
  <property fmtid="{D5CDD505-2E9C-101B-9397-08002B2CF9AE}" pid="4" name="Pref_Time">
    <vt:lpwstr>10:27:20, 09:28:12, 15:29:38, 12:28:29, 12:25:37, 08:41:48</vt:lpwstr>
  </property>
  <property fmtid="{D5CDD505-2E9C-101B-9397-08002B2CF9AE}" pid="5" name="Pref_User">
    <vt:lpwstr>amett, enied, amett, enied, enied, enied</vt:lpwstr>
  </property>
  <property fmtid="{D5CDD505-2E9C-101B-9397-08002B2CF9AE}" pid="6" name="Pref_FileName">
    <vt:lpwstr>EESC-2025-00345-00-01-TCD-ORI.docx, EESC-2025-00345-00-00-TCD-ORI.docx, EESC-2024-04576-00-00-TCD-ORI.docx, Summary of opinions.docx, COR-EESC-2022-02370-00-00-ADMIN-ORI.docx, Synthese des avis Template.docx</vt:lpwstr>
  </property>
  <property fmtid="{D5CDD505-2E9C-101B-9397-08002B2CF9AE}" pid="7" name="ContentTypeId">
    <vt:lpwstr>0x010100EA97B91038054C99906057A708A1480A006BB3B767F3CF4149BF520211D4A86BC0</vt:lpwstr>
  </property>
  <property fmtid="{D5CDD505-2E9C-101B-9397-08002B2CF9AE}" pid="8" name="_dlc_DocIdItemGuid">
    <vt:lpwstr>de5f2528-7a37-4c16-86d3-7a3c36efaba9</vt:lpwstr>
  </property>
  <property fmtid="{D5CDD505-2E9C-101B-9397-08002B2CF9AE}" pid="9" name="AvailableTranslations">
    <vt:lpwstr>34;#IT|0774613c-01ed-4e5d-a25d-11d2388de825;#30;#LT|a7ff5ce7-6123-4f68-865a-a57c31810414;#23;#DE|f6b31e5a-26fa-4935-b661-318e46daf27e;#50;#HR|2f555653-ed1a-4fe6-8362-9082d95989e5;#16;#ES|e7a6b05b-ae16-40c8-add9-68b64b03aeba;#40;#DA|5d49c027-8956-412b-aa16-e85a0f96ad0e;#42;#EL|6d4f4d51-af9b-4650-94b4-4276bee85c91;#24;#PL|1e03da61-4678-4e07-b136-b5024ca9197b;#46;#SK|46d9fce0-ef79-4f71-b89b-cd6aa82426b8;#27;#NL|55c6556c-b4f4-441d-9acf-c498d4f838bd;#33;#PT|50ccc04a-eadd-42ae-a0cb-acaf45f812ba;#5;#EN|f2175f21-25d7-44a3-96da-d6a61b075e1b;#39;#LV|46f7e311-5d9f-4663-b433-18aeccb7ace7;#37;#HU|6b229040-c589-4408-b4c1-4285663d20a8;#36;#RO|feb747a2-64cd-4299-af12-4833ddc30497;#29;#CS|72f9705b-0217-4fd3-bea2-cbc7ed80e26e;#12;#FR|d2afafd3-4c81-4f60-8f52-ee33f2f54ff3;#35;#FI|87606a43-d45f-42d6-b8c9-e1a3457db5b7;#31;#SL|98a412ae-eb01-49e9-ae3d-585a81724cfc;#41;#ET|ff6c3f4c-b02c-4c3c-ab07-2c37995a7a0a;#28;#SV|c2ed69e7-a339-43d7-8f22-d93680a92aa0;#47;#BG|1a1b3951-7821-4e6a-85f5-5673fc08bd2c</vt:lpwstr>
  </property>
  <property fmtid="{D5CDD505-2E9C-101B-9397-08002B2CF9AE}" pid="10" name="DocumentType_0">
    <vt:lpwstr>TCD|cd9d6eb6-3f4f-424a-b2d1-57c9d450eaaf</vt:lpwstr>
  </property>
  <property fmtid="{D5CDD505-2E9C-101B-9397-08002B2CF9AE}" pid="11" name="MeetingNumber">
    <vt:i4>595</vt:i4>
  </property>
  <property fmtid="{D5CDD505-2E9C-101B-9397-08002B2CF9AE}" pid="12" name="DossierName_0">
    <vt:lpwstr/>
  </property>
  <property fmtid="{D5CDD505-2E9C-101B-9397-08002B2CF9AE}" pid="13" name="DocumentSource_0">
    <vt:lpwstr>EESC|422833ec-8d7e-4e65-8e4e-8bed07ffb729</vt:lpwstr>
  </property>
  <property fmtid="{D5CDD505-2E9C-101B-9397-08002B2CF9AE}" pid="14" name="DocumentNumber">
    <vt:i4>345</vt:i4>
  </property>
  <property fmtid="{D5CDD505-2E9C-101B-9397-08002B2CF9AE}" pid="15" name="FicheYear">
    <vt:i4>2025</vt:i4>
  </property>
  <property fmtid="{D5CDD505-2E9C-101B-9397-08002B2CF9AE}" pid="16" name="DocumentVersion">
    <vt:i4>1</vt:i4>
  </property>
  <property fmtid="{D5CDD505-2E9C-101B-9397-08002B2CF9AE}" pid="17" name="DocumentStatus">
    <vt:lpwstr>13;#TRA|150d2a88-1431-44e6-a8ca-0bb753ab8672</vt:lpwstr>
  </property>
  <property fmtid="{D5CDD505-2E9C-101B-9397-08002B2CF9AE}" pid="18" name="DossierName">
    <vt:lpwstr/>
  </property>
  <property fmtid="{D5CDD505-2E9C-101B-9397-08002B2CF9AE}" pid="19" name="RequestingService">
    <vt:lpwstr>Greffe</vt:lpwstr>
  </property>
  <property fmtid="{D5CDD505-2E9C-101B-9397-08002B2CF9AE}" pid="20" name="Confidentiality">
    <vt:lpwstr>15;#Unrestricted|826e22d7-d029-4ec0-a450-0c28ff673572</vt:lpwstr>
  </property>
  <property fmtid="{D5CDD505-2E9C-101B-9397-08002B2CF9AE}" pid="21" name="MeetingName_0">
    <vt:lpwstr>SPL-CES|32d8cb1f-c9ec-4365-95c7-8385a18618ac</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67;#SPL-CES|32d8cb1f-c9ec-4365-95c7-8385a18618ac</vt:lpwstr>
  </property>
  <property fmtid="{D5CDD505-2E9C-101B-9397-08002B2CF9AE}" pid="25" name="MeetingDate">
    <vt:filetime>2025-03-26T12:00:00Z</vt:filetime>
  </property>
  <property fmtid="{D5CDD505-2E9C-101B-9397-08002B2CF9AE}" pid="26" name="AvailableTranslations_0">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67;#SPL-CES|32d8cb1f-c9ec-4365-95c7-8385a18618ac;#15;#Unrestricted|826e22d7-d029-4ec0-a450-0c28ff673572;#13;#TRA|150d2a88-1431-44e6-a8ca-0bb753ab8672;#8;#Final|ea5e6674-7b27-4bac-b091-73adbb394efe;#5;#EN|f2175f21-25d7-44a3-96da-d6a61b075e1b;#19;#TCD|cd9d6eb6-3f4f-424a-b2d1-57c9d450eaaf;#1;#EESC|422833ec-8d7e-4e65-8e4e-8bed07ffb729</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2025</vt:i4>
  </property>
  <property fmtid="{D5CDD505-2E9C-101B-9397-08002B2CF9AE}" pid="33" name="FicheNumber">
    <vt:i4>2534</vt:i4>
  </property>
  <property fmtid="{D5CDD505-2E9C-101B-9397-08002B2CF9AE}" pid="34" name="DocumentPart">
    <vt:i4>0</vt:i4>
  </property>
  <property fmtid="{D5CDD505-2E9C-101B-9397-08002B2CF9AE}" pid="35" name="DocumentSource">
    <vt:lpwstr>1;#EESC|422833ec-8d7e-4e65-8e4e-8bed07ffb729</vt:lpwstr>
  </property>
  <property fmtid="{D5CDD505-2E9C-101B-9397-08002B2CF9AE}" pid="37" name="DocumentType">
    <vt:lpwstr>19;#TCD|cd9d6eb6-3f4f-424a-b2d1-57c9d450eaaf</vt:lpwstr>
  </property>
  <property fmtid="{D5CDD505-2E9C-101B-9397-08002B2CF9AE}" pid="38" name="DocumentLanguage">
    <vt:lpwstr>5;#EN|f2175f21-25d7-44a3-96da-d6a61b075e1b</vt:lpwstr>
  </property>
  <property fmtid="{D5CDD505-2E9C-101B-9397-08002B2CF9AE}" pid="39" name="_docset_NoMedatataSyncRequired">
    <vt:lpwstr>False</vt:lpwstr>
  </property>
</Properties>
</file>