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B6B" w:rsidP="00F01EB5" w:rsidRDefault="00F01EB5" w14:paraId="08C99350" w14:textId="77777777">
      <w:pPr>
        <w:jc w:val="center"/>
      </w:pPr>
      <w:bookmarkStart w:name="_GoBack" w:id="0"/>
      <w:bookmarkEnd w:id="0"/>
      <w:r>
        <w:rPr>
          <w:noProof/>
          <w:lang w:val="en-US"/>
        </w:rPr>
        <w:drawing>
          <wp:inline distT="0" distB="0" distL="0" distR="0" wp14:anchorId="7AA3D77F" wp14:editId="7A8F2DFA">
            <wp:extent cx="1792800" cy="1240079"/>
            <wp:effectExtent l="0" t="0" r="0" b="0"/>
            <wp:docPr id="5" name="Picture 5" title="EESC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logo_EESC-vertical-positive-en-quadri_MR.jpg"/>
                    <pic:cNvPicPr/>
                  </pic:nvPicPr>
                  <pic:blipFill>
                    <a:blip r:embed="rId11">
                      <a:extLst>
                        <a:ext uri="{28A0092B-C50C-407E-A947-70E740481C1C}">
                          <a14:useLocalDpi xmlns:a14="http://schemas.microsoft.com/office/drawing/2010/main" val="0"/>
                        </a:ext>
                      </a:extLst>
                    </a:blip>
                    <a:stretch>
                      <a:fillRect/>
                    </a:stretch>
                  </pic:blipFill>
                  <pic:spPr>
                    <a:xfrm>
                      <a:off x="0" y="0"/>
                      <a:ext cx="1792800" cy="1240079"/>
                    </a:xfrm>
                    <a:prstGeom prst="rect">
                      <a:avLst/>
                    </a:prstGeom>
                  </pic:spPr>
                </pic:pic>
              </a:graphicData>
            </a:graphic>
          </wp:inline>
        </w:drawing>
      </w:r>
      <w:r w:rsidR="00165632">
        <w:rPr>
          <w:noProof/>
          <w:sz w:val="20"/>
          <w:lang w:val="en-US"/>
        </w:rPr>
        <mc:AlternateContent>
          <mc:Choice Requires="wps">
            <w:drawing>
              <wp:anchor distT="0" distB="0" distL="114300" distR="114300" simplePos="0" relativeHeight="251659264" behindDoc="1" locked="0" layoutInCell="0" allowOverlap="1" wp14:editId="79492399" wp14:anchorId="61E3BFFC">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260E65" w:rsidR="00165632" w:rsidRDefault="00165632" w14:paraId="77C545E5" w14:textId="77777777">
                            <w:pPr>
                              <w:jc w:val="center"/>
                              <w:rPr>
                                <w:rFonts w:ascii="Arial" w:hAnsi="Arial" w:cs="Arial"/>
                                <w:b/>
                                <w:bCs/>
                                <w:sz w:val="48"/>
                                <w:lang w:val="nl-BE"/>
                              </w:rPr>
                            </w:pPr>
                            <w:r>
                              <w:rPr>
                                <w:rFonts w:ascii="Arial" w:hAnsi="Arial" w:cs="Arial"/>
                                <w:b/>
                                <w:bCs/>
                                <w:sz w:val="48"/>
                                <w:lang w:val="nl-BE"/>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1E3BFFC">
                <v:stroke joinstyle="miter"/>
                <v:path gradientshapeok="t" o:connecttype="rect"/>
              </v:shapetype>
              <v:shape id="Text Box 17"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l4Qt8rYCAAC6&#10;BQAADgAAAAAAAAAAAAAAAAAuAgAAZHJzL2Uyb0RvYy54bWxQSwECLQAUAAYACAAAACEA61QxWt4A&#10;AAAPAQAADwAAAAAAAAAAAAAAAAAQBQAAZHJzL2Rvd25yZXYueG1sUEsFBgAAAAAEAAQA8wAAABsG&#10;AAAAAA==&#10;">
                <v:textbox>
                  <w:txbxContent>
                    <w:p w:rsidRPr="00260E65" w:rsidR="00165632" w:rsidRDefault="00165632" w14:paraId="77C545E5" w14:textId="77777777">
                      <w:pPr>
                        <w:jc w:val="center"/>
                        <w:rPr>
                          <w:rFonts w:ascii="Arial" w:hAnsi="Arial" w:cs="Arial"/>
                          <w:b/>
                          <w:bCs/>
                          <w:sz w:val="48"/>
                          <w:lang w:val="nl-BE"/>
                        </w:rPr>
                      </w:pPr>
                      <w:r>
                        <w:rPr>
                          <w:rFonts w:ascii="Arial" w:hAnsi="Arial" w:cs="Arial"/>
                          <w:b/>
                          <w:bCs/>
                          <w:sz w:val="48"/>
                          <w:lang w:val="nl-BE"/>
                        </w:rPr>
                        <w:t>EN</w:t>
                      </w:r>
                    </w:p>
                  </w:txbxContent>
                </v:textbox>
                <w10:wrap anchorx="page" anchory="page"/>
              </v:shape>
            </w:pict>
          </mc:Fallback>
        </mc:AlternateContent>
      </w:r>
    </w:p>
    <w:p w:rsidRPr="00F01EB5" w:rsidR="00F01EB5" w:rsidP="00F01EB5" w:rsidRDefault="00F01EB5" w14:paraId="382519A3" w14:textId="77777777">
      <w:pPr>
        <w:jc w:val="left"/>
      </w:pPr>
    </w:p>
    <w:p w:rsidRPr="0082636E" w:rsidR="0015330A" w:rsidP="0015330A" w:rsidRDefault="00382D92" w14:paraId="02555730" w14:textId="39B88010">
      <w:pPr>
        <w:jc w:val="right"/>
      </w:pPr>
      <w:r>
        <w:rPr>
          <w:b/>
        </w:rPr>
        <w:t>SOC/802</w:t>
      </w:r>
    </w:p>
    <w:p w:rsidRPr="00A67235" w:rsidR="000E4B6B" w:rsidP="0015330A" w:rsidRDefault="001455EA" w14:paraId="1EFE7F2B" w14:textId="2DF51CF2">
      <w:pPr>
        <w:jc w:val="right"/>
      </w:pPr>
      <w:r w:rsidRPr="001455EA">
        <w:rPr>
          <w:b/>
        </w:rPr>
        <w:t>Imbalances in social protection</w:t>
      </w:r>
    </w:p>
    <w:p w:rsidR="000E4B6B" w:rsidP="00EC0F0F" w:rsidRDefault="000E4B6B" w14:paraId="246146FA" w14:textId="77777777"/>
    <w:p w:rsidRPr="00A67235" w:rsidR="0015330A" w:rsidP="00EC0F0F" w:rsidRDefault="0015330A" w14:paraId="42ECB1B2" w14:textId="77777777"/>
    <w:p w:rsidRPr="00A67235" w:rsidR="000E4B6B" w:rsidP="00EC0F0F" w:rsidRDefault="000E4B6B" w14:paraId="0D69E171" w14:textId="4992E8EB">
      <w:pPr>
        <w:jc w:val="right"/>
      </w:pPr>
      <w:r w:rsidRPr="00A67235">
        <w:t xml:space="preserve">Brussels, </w:t>
      </w:r>
    </w:p>
    <w:p w:rsidRPr="00A67235" w:rsidR="000E4B6B" w:rsidP="00EC0F0F" w:rsidRDefault="000E4B6B" w14:paraId="31FA757B" w14:textId="77777777"/>
    <w:p w:rsidRPr="00A67235" w:rsidR="000E4B6B" w:rsidP="00EC0F0F" w:rsidRDefault="000E4B6B" w14:paraId="7079C9D2" w14:textId="77777777"/>
    <w:p w:rsidRPr="00A67235" w:rsidR="000E4B6B" w:rsidP="00EC0F0F" w:rsidRDefault="000E4B6B" w14:paraId="0B406AD6" w14:textId="77777777"/>
    <w:p w:rsidRPr="00A67235" w:rsidR="000E4B6B" w:rsidP="00EC0F0F" w:rsidRDefault="000E4B6B" w14:paraId="414F5CCC" w14:textId="77777777"/>
    <w:p w:rsidRPr="00A67235" w:rsidR="00964A13" w:rsidP="00EC0F0F" w:rsidRDefault="00964A13" w14:paraId="1CA7DBC6" w14:textId="1B253937">
      <w:pPr>
        <w:jc w:val="center"/>
      </w:pPr>
      <w:r w:rsidRPr="00A67235">
        <w:rPr>
          <w:b/>
          <w:sz w:val="32"/>
        </w:rPr>
        <w:t>RECORD OF THE PROCEEDINGS</w:t>
      </w:r>
      <w:r w:rsidR="009E138D">
        <w:rPr>
          <w:b/>
          <w:sz w:val="32"/>
        </w:rPr>
        <w:br/>
      </w:r>
      <w:r w:rsidR="003876B5">
        <w:br/>
      </w:r>
      <w:r w:rsidRPr="00A67235">
        <w:t>European Economic and Social Committee</w:t>
      </w:r>
      <w:r w:rsidR="009E138D">
        <w:br/>
      </w:r>
      <w:r w:rsidR="009E138D">
        <w:br/>
      </w:r>
      <w:r w:rsidRPr="00382D92" w:rsidR="00382D92">
        <w:rPr>
          <w:b/>
          <w:bCs/>
        </w:rPr>
        <w:t>Imbalances in social protection in general and specifically for the ‘new forms of work’ and ‘atypical workers’</w:t>
      </w:r>
      <w:r w:rsidRPr="00A67235">
        <w:rPr>
          <w:b/>
          <w:bCs/>
        </w:rPr>
        <w:br/>
      </w:r>
      <w:r w:rsidR="00382D92">
        <w:t>(</w:t>
      </w:r>
      <w:r w:rsidRPr="00382D92" w:rsidR="00382D92">
        <w:t>own-initiative opinion</w:t>
      </w:r>
      <w:r w:rsidR="00382D92">
        <w:t>)</w:t>
      </w:r>
    </w:p>
    <w:p w:rsidRPr="00A67235" w:rsidR="00964A13" w:rsidP="00EC0F0F" w:rsidRDefault="00964A13" w14:paraId="6EA6F05A" w14:textId="77777777">
      <w:pPr>
        <w:jc w:val="center"/>
      </w:pPr>
      <w:r w:rsidRPr="00A67235">
        <w:t>_____________</w:t>
      </w:r>
    </w:p>
    <w:p w:rsidRPr="00A67235" w:rsidR="00964A13" w:rsidP="00EC0F0F" w:rsidRDefault="00964A13" w14:paraId="155F9A18" w14:textId="77777777">
      <w:pPr>
        <w:jc w:val="center"/>
      </w:pPr>
    </w:p>
    <w:p w:rsidRPr="00A67235" w:rsidR="00964A13" w:rsidP="00EC0F0F" w:rsidRDefault="00382D92" w14:paraId="0FA745B1" w14:textId="4207D46E">
      <w:pPr>
        <w:jc w:val="center"/>
        <w:rPr>
          <w:bCs/>
        </w:rPr>
      </w:pPr>
      <w:r>
        <w:t>591</w:t>
      </w:r>
      <w:r w:rsidR="00177DAC">
        <w:t xml:space="preserve"> </w:t>
      </w:r>
      <w:r w:rsidR="0015330A">
        <w:t>plenary session</w:t>
      </w:r>
      <w:r w:rsidR="009E138D">
        <w:br/>
      </w:r>
      <w:r w:rsidR="009E138D">
        <w:rPr>
          <w:bCs/>
        </w:rPr>
        <w:br/>
      </w:r>
      <w:r w:rsidRPr="00A67235" w:rsidR="00964A13">
        <w:rPr>
          <w:bCs/>
        </w:rPr>
        <w:t>Brussels</w:t>
      </w:r>
      <w:r w:rsidR="009E138D">
        <w:rPr>
          <w:bCs/>
        </w:rPr>
        <w:br/>
      </w:r>
      <w:r>
        <w:rPr>
          <w:bCs/>
        </w:rPr>
        <w:t>23-</w:t>
      </w:r>
      <w:r w:rsidR="005205F4">
        <w:rPr>
          <w:bCs/>
        </w:rPr>
        <w:t>24</w:t>
      </w:r>
      <w:r>
        <w:rPr>
          <w:bCs/>
        </w:rPr>
        <w:t xml:space="preserve"> October 2024</w:t>
      </w:r>
    </w:p>
    <w:p w:rsidRPr="00A67235" w:rsidR="00964A13" w:rsidP="00EC0F0F" w:rsidRDefault="00964A13" w14:paraId="1F2948E8" w14:textId="77777777">
      <w:pPr>
        <w:jc w:val="center"/>
      </w:pPr>
      <w:r w:rsidRPr="00A67235">
        <w:t>_____________</w:t>
      </w:r>
    </w:p>
    <w:p w:rsidRPr="00A67235" w:rsidR="00964A13" w:rsidP="00EC0F0F" w:rsidRDefault="00964A13" w14:paraId="0DDEA934" w14:textId="77777777">
      <w:pPr>
        <w:jc w:val="center"/>
      </w:pPr>
    </w:p>
    <w:p w:rsidRPr="00A67235" w:rsidR="00964A13" w:rsidP="00EC0F0F" w:rsidRDefault="00964A13" w14:paraId="320DD6DB" w14:textId="14706396">
      <w:pPr>
        <w:jc w:val="center"/>
      </w:pPr>
      <w:r w:rsidRPr="00A67235">
        <w:t xml:space="preserve">Meeting of </w:t>
      </w:r>
      <w:r w:rsidR="00382D92">
        <w:t>23 October 2024</w:t>
      </w:r>
      <w:r w:rsidR="009E138D">
        <w:br/>
      </w:r>
      <w:r w:rsidRPr="00A67235">
        <w:rPr>
          <w:bCs/>
        </w:rPr>
        <w:t>_____________</w:t>
      </w:r>
    </w:p>
    <w:p w:rsidRPr="00A67235" w:rsidR="00964A13" w:rsidP="00EC0F0F" w:rsidRDefault="00964A13" w14:paraId="57F8546B" w14:textId="77777777">
      <w:pPr>
        <w:jc w:val="center"/>
      </w:pPr>
    </w:p>
    <w:p w:rsidRPr="00A67235" w:rsidR="00964A13" w:rsidP="00EC0F0F" w:rsidRDefault="00964A13" w14:paraId="6CCB63EF" w14:textId="09E89EC1">
      <w:pPr>
        <w:pStyle w:val="Footer"/>
        <w:jc w:val="center"/>
      </w:pPr>
      <w:r w:rsidRPr="00A67235">
        <w:t>Agenda item</w:t>
      </w:r>
      <w:r w:rsidR="00177DAC">
        <w:t xml:space="preserve"> </w:t>
      </w:r>
      <w:r w:rsidR="00382D92">
        <w:t>14</w:t>
      </w:r>
    </w:p>
    <w:p w:rsidRPr="00A67235" w:rsidR="00964A13" w:rsidP="00EC0F0F" w:rsidRDefault="00964A13" w14:paraId="51C5CA93" w14:textId="77777777">
      <w:pPr>
        <w:pStyle w:val="Footer"/>
        <w:jc w:val="center"/>
      </w:pPr>
      <w:r w:rsidRPr="00A67235">
        <w:t>_____________</w:t>
      </w:r>
    </w:p>
    <w:p w:rsidRPr="00A67235" w:rsidR="000E4B6B" w:rsidP="00EC0F0F" w:rsidRDefault="000E4B6B" w14:paraId="2BF941E5" w14:textId="77777777"/>
    <w:p w:rsidRPr="00A67235" w:rsidR="000E4B6B" w:rsidP="00EC0F0F" w:rsidRDefault="00964A13" w14:paraId="1461B587" w14:textId="16DC418F">
      <w:r w:rsidRPr="00A67235">
        <w:rPr>
          <w:b/>
          <w:bCs/>
        </w:rPr>
        <w:br w:type="page"/>
      </w:r>
      <w:r w:rsidRPr="00A67235" w:rsidR="000E4B6B">
        <w:rPr>
          <w:b/>
          <w:bCs/>
        </w:rPr>
        <w:lastRenderedPageBreak/>
        <w:t xml:space="preserve">The president </w:t>
      </w:r>
      <w:r w:rsidRPr="00A67235" w:rsidR="000E4B6B">
        <w:t xml:space="preserve">moved that the Committee turn to agenda item </w:t>
      </w:r>
      <w:r w:rsidR="00382D92">
        <w:t>14</w:t>
      </w:r>
      <w:r w:rsidRPr="00A67235" w:rsidR="000E4B6B">
        <w:t xml:space="preserve"> - adoption of an opinion on the</w:t>
      </w:r>
    </w:p>
    <w:p w:rsidRPr="00A67235" w:rsidR="000E4B6B" w:rsidP="00EC0F0F" w:rsidRDefault="000E4B6B" w14:paraId="037DAC87" w14:textId="77777777"/>
    <w:p w:rsidRPr="00A67235" w:rsidR="000E4B6B" w:rsidP="00EC0F0F" w:rsidRDefault="00382D92" w14:paraId="0750582A" w14:textId="6648E166">
      <w:pPr>
        <w:ind w:left="1430"/>
        <w:rPr>
          <w:i/>
          <w:iCs/>
        </w:rPr>
      </w:pPr>
      <w:r w:rsidRPr="00382D92">
        <w:rPr>
          <w:i/>
          <w:iCs/>
        </w:rPr>
        <w:t>Imbalances in social protection in general and specifically for the ‘new forms of work’ and ‘atypical workers’</w:t>
      </w:r>
    </w:p>
    <w:p w:rsidRPr="00A67235" w:rsidR="000E4B6B" w:rsidP="00EC0F0F" w:rsidRDefault="000E4B6B" w14:paraId="305301AD" w14:textId="4DD66E6E">
      <w:pPr>
        <w:ind w:left="1430"/>
      </w:pPr>
      <w:r w:rsidRPr="00A67235">
        <w:t>(</w:t>
      </w:r>
      <w:r w:rsidRPr="00382D92" w:rsidR="00382D92">
        <w:t>own-initiative opinion</w:t>
      </w:r>
      <w:r w:rsidR="002601CF">
        <w:rPr>
          <w:lang w:val="it-IT"/>
        </w:rPr>
        <w:t>)</w:t>
      </w:r>
      <w:r w:rsidRPr="00A67235">
        <w:t>.</w:t>
      </w:r>
    </w:p>
    <w:p w:rsidRPr="00A67235" w:rsidR="000E4B6B" w:rsidP="00EC0F0F" w:rsidRDefault="000E4B6B" w14:paraId="7B740915" w14:textId="77777777"/>
    <w:p w:rsidRPr="00A67235" w:rsidR="00062091" w:rsidP="00062091" w:rsidRDefault="00062091" w14:paraId="2164499E" w14:textId="356C7511">
      <w:r w:rsidRPr="00A67235">
        <w:t xml:space="preserve">The preliminary work had been carried out </w:t>
      </w:r>
      <w:r w:rsidRPr="00C25903">
        <w:t xml:space="preserve">by the Section for Employment, Social Affairs and Citizenship (president: </w:t>
      </w:r>
      <w:r w:rsidRPr="00C25903">
        <w:rPr>
          <w:b/>
          <w:bCs/>
        </w:rPr>
        <w:t>Cinzia Del Rio</w:t>
      </w:r>
      <w:r w:rsidRPr="00C25903">
        <w:t>)</w:t>
      </w:r>
      <w:r w:rsidRPr="00A67235">
        <w:t>. The rapporteur was</w:t>
      </w:r>
      <w:r w:rsidRPr="00062091">
        <w:rPr>
          <w:lang w:val="es-ES"/>
        </w:rPr>
        <w:t>:</w:t>
      </w:r>
      <w:r w:rsidRPr="00062091">
        <w:rPr>
          <w:b/>
          <w:bCs/>
          <w:lang w:val="es-ES"/>
        </w:rPr>
        <w:t xml:space="preserve"> María del Carmen BARRERA CHAMORRO</w:t>
      </w:r>
      <w:r w:rsidRPr="00A67235">
        <w:t>.</w:t>
      </w:r>
    </w:p>
    <w:p w:rsidR="000E4B6B" w:rsidP="00EC0F0F" w:rsidRDefault="000E4B6B" w14:paraId="2708AAF4" w14:textId="0D0AA60F"/>
    <w:p w:rsidR="001B5345" w:rsidP="00EC0F0F" w:rsidRDefault="00572C76" w14:paraId="646DD145" w14:textId="334A3118">
      <w:r>
        <w:t>Ms Barrera Chamorro</w:t>
      </w:r>
      <w:r w:rsidR="00062091">
        <w:t xml:space="preserve"> </w:t>
      </w:r>
      <w:r w:rsidRPr="00062091" w:rsidR="00062091">
        <w:t xml:space="preserve">noted that the opinion underscores the necessity of tackling social inequalities and ensuring adequate social protection for workers in atypical and </w:t>
      </w:r>
      <w:r w:rsidR="00062091">
        <w:t>new</w:t>
      </w:r>
      <w:r w:rsidRPr="00062091" w:rsidR="00062091">
        <w:t xml:space="preserve"> forms of employment. An increasing number of workers within the EU fall under this category, encountering challenges such as gaps in social protection and pension disparities, particularly affecting women more than men. She also emphasised the critical need for social protection systems that deliver fair and sustainable coverage, particularly to address the impacts of digital and green transitions, including for workers in non-standard </w:t>
      </w:r>
      <w:r w:rsidR="00501C07">
        <w:t>and new employment</w:t>
      </w:r>
      <w:r w:rsidRPr="00062091" w:rsidR="00062091">
        <w:t xml:space="preserve">. Consequently, there is a call to advance transparency and </w:t>
      </w:r>
      <w:r w:rsidR="000A7AA5">
        <w:t xml:space="preserve">ensure </w:t>
      </w:r>
      <w:r w:rsidRPr="00062091" w:rsidR="00062091">
        <w:t xml:space="preserve">effective </w:t>
      </w:r>
      <w:r w:rsidR="00501C07">
        <w:t>coverage</w:t>
      </w:r>
      <w:r w:rsidRPr="00062091" w:rsidR="00062091">
        <w:t xml:space="preserve"> of social protection benefits for workers across all employment forms. The opinion further </w:t>
      </w:r>
      <w:r w:rsidR="00501C07">
        <w:t>calls on</w:t>
      </w:r>
      <w:r w:rsidRPr="00062091" w:rsidR="00062091">
        <w:t xml:space="preserve"> the Commission to review the Directive on equal treatment in social security</w:t>
      </w:r>
      <w:r w:rsidR="00501C07">
        <w:t xml:space="preserve"> with a view</w:t>
      </w:r>
      <w:r w:rsidRPr="00062091" w:rsidR="00062091">
        <w:t xml:space="preserve"> to clos</w:t>
      </w:r>
      <w:r w:rsidR="00501C07">
        <w:t>ing the</w:t>
      </w:r>
      <w:r w:rsidRPr="00062091" w:rsidR="00062091">
        <w:t xml:space="preserve"> existing gaps that hinder social progress and upward social </w:t>
      </w:r>
      <w:r w:rsidR="00501C07">
        <w:t>convergence</w:t>
      </w:r>
      <w:r w:rsidRPr="00062091" w:rsidR="00062091">
        <w:t>.</w:t>
      </w:r>
    </w:p>
    <w:p w:rsidR="001B5345" w:rsidP="00EC0F0F" w:rsidRDefault="001B5345" w14:paraId="1BEB1FFD" w14:textId="74576FA4"/>
    <w:p w:rsidR="00501C07" w:rsidP="00EC0F0F" w:rsidRDefault="00572C76" w14:paraId="4A60A787" w14:textId="087A0F52">
      <w:r>
        <w:t xml:space="preserve">A debate followed, during which 1 member took the floor. Ms Neiiendam, who was the study group president, acknowledged </w:t>
      </w:r>
      <w:r w:rsidR="00501C07">
        <w:t xml:space="preserve">that although the opinion’s subject is complex and sensitive due to differing views among groups, it stands as a product of constructive cooperation </w:t>
      </w:r>
      <w:r w:rsidR="000A7AA5">
        <w:t>within all</w:t>
      </w:r>
      <w:r w:rsidR="00501C07">
        <w:t xml:space="preserve"> group</w:t>
      </w:r>
      <w:r w:rsidR="000A7AA5">
        <w:t>s</w:t>
      </w:r>
      <w:r w:rsidR="00501C07">
        <w:t xml:space="preserve">. She commended the work of all involved, thanked </w:t>
      </w:r>
      <w:r w:rsidR="000A7AA5">
        <w:t xml:space="preserve">the </w:t>
      </w:r>
      <w:r w:rsidR="00501C07">
        <w:t xml:space="preserve">members for their contributions and urged </w:t>
      </w:r>
      <w:r w:rsidR="000A7AA5">
        <w:t>to</w:t>
      </w:r>
      <w:r w:rsidR="00501C07">
        <w:t xml:space="preserve"> vote</w:t>
      </w:r>
      <w:r w:rsidR="000A7AA5">
        <w:t xml:space="preserve"> in favour</w:t>
      </w:r>
      <w:r w:rsidR="00501C07">
        <w:t xml:space="preserve"> </w:t>
      </w:r>
      <w:r w:rsidR="000A7AA5">
        <w:t>of</w:t>
      </w:r>
      <w:r w:rsidR="00501C07">
        <w:t xml:space="preserve"> the opinion.</w:t>
      </w:r>
    </w:p>
    <w:p w:rsidR="00572C76" w:rsidP="00EC0F0F" w:rsidRDefault="00572C76" w14:paraId="6D395081" w14:textId="77777777"/>
    <w:p w:rsidR="000E4B6B" w:rsidP="00EC0F0F" w:rsidRDefault="00501C07" w14:paraId="2FBD0349" w14:textId="5D8315E5">
      <w:r>
        <w:t xml:space="preserve">The rapporteur expressed </w:t>
      </w:r>
      <w:r w:rsidR="000A7AA5">
        <w:t xml:space="preserve">her </w:t>
      </w:r>
      <w:r>
        <w:t>gratitude to the study group members and the SOC Secretariat for their efforts, particularly for their flexibility in reaching a balanced compromise text.</w:t>
      </w:r>
    </w:p>
    <w:p w:rsidR="00501C07" w:rsidP="00EC0F0F" w:rsidRDefault="00501C07" w14:paraId="2B2EB9B1" w14:textId="5B0CC247"/>
    <w:p w:rsidR="00D25299" w:rsidP="00EC0F0F" w:rsidRDefault="00D25299" w14:paraId="1385FD08" w14:textId="1648CA37"/>
    <w:p w:rsidR="00D25299" w:rsidP="00D25299" w:rsidRDefault="00D25299" w14:paraId="211C0ABF" w14:textId="05FFDC4B">
      <w:r>
        <w:t>The following amendment had been tabled to opinion SOC/80</w:t>
      </w:r>
      <w:r w:rsidR="00F21507">
        <w:t>2</w:t>
      </w:r>
      <w:r>
        <w:t>:</w:t>
      </w:r>
    </w:p>
    <w:p w:rsidR="00D25299" w:rsidP="00D25299" w:rsidRDefault="00D25299" w14:paraId="4BD5075F" w14:textId="77777777"/>
    <w:p w:rsidRPr="00D25299" w:rsidR="00D25299" w:rsidP="00D25299" w:rsidRDefault="00D25299" w14:paraId="01825D33" w14:textId="7204433E">
      <w:pPr>
        <w:rPr>
          <w:bCs/>
        </w:rPr>
      </w:pPr>
      <w:r>
        <w:rPr>
          <w:b/>
        </w:rPr>
        <w:t xml:space="preserve">Amendment 1 </w:t>
      </w:r>
      <w:r>
        <w:rPr>
          <w:bCs/>
        </w:rPr>
        <w:t xml:space="preserve">(tabled by </w:t>
      </w:r>
      <w:r w:rsidRPr="00D25299">
        <w:rPr>
          <w:bCs/>
        </w:rPr>
        <w:t>René</w:t>
      </w:r>
      <w:r>
        <w:rPr>
          <w:bCs/>
        </w:rPr>
        <w:t xml:space="preserve"> </w:t>
      </w:r>
      <w:r w:rsidRPr="00D25299">
        <w:rPr>
          <w:bCs/>
        </w:rPr>
        <w:t>Blijlevens</w:t>
      </w:r>
      <w:r>
        <w:rPr>
          <w:bCs/>
        </w:rPr>
        <w:t xml:space="preserve">, </w:t>
      </w:r>
      <w:r w:rsidRPr="00D25299">
        <w:rPr>
          <w:bCs/>
        </w:rPr>
        <w:t>Mariya</w:t>
      </w:r>
      <w:r>
        <w:rPr>
          <w:bCs/>
        </w:rPr>
        <w:t xml:space="preserve"> </w:t>
      </w:r>
      <w:r w:rsidRPr="00D25299">
        <w:rPr>
          <w:bCs/>
        </w:rPr>
        <w:t>Mincheva</w:t>
      </w:r>
      <w:r>
        <w:rPr>
          <w:bCs/>
        </w:rPr>
        <w:t xml:space="preserve">, </w:t>
      </w:r>
      <w:r w:rsidRPr="00D25299">
        <w:rPr>
          <w:bCs/>
        </w:rPr>
        <w:t>Jean-Michel</w:t>
      </w:r>
      <w:r>
        <w:rPr>
          <w:bCs/>
        </w:rPr>
        <w:t xml:space="preserve"> </w:t>
      </w:r>
      <w:r w:rsidRPr="00D25299">
        <w:rPr>
          <w:bCs/>
        </w:rPr>
        <w:t>Pottier</w:t>
      </w:r>
      <w:r>
        <w:rPr>
          <w:bCs/>
        </w:rPr>
        <w:t xml:space="preserve">, </w:t>
      </w:r>
      <w:r w:rsidRPr="00D25299">
        <w:rPr>
          <w:bCs/>
        </w:rPr>
        <w:t>Christa</w:t>
      </w:r>
      <w:r>
        <w:rPr>
          <w:bCs/>
        </w:rPr>
        <w:t xml:space="preserve"> </w:t>
      </w:r>
      <w:r w:rsidRPr="00D25299">
        <w:rPr>
          <w:bCs/>
        </w:rPr>
        <w:t>Schweng</w:t>
      </w:r>
      <w:r>
        <w:rPr>
          <w:bCs/>
        </w:rPr>
        <w:t>)</w:t>
      </w:r>
    </w:p>
    <w:p w:rsidR="00D25299" w:rsidP="00EC0F0F" w:rsidRDefault="00D25299" w14:paraId="49D23A86" w14:textId="77777777"/>
    <w:tbl>
      <w:tblPr>
        <w:tblW w:w="2827" w:type="pct"/>
        <w:tblBorders>
          <w:top w:val="nil"/>
          <w:left w:val="nil"/>
          <w:bottom w:val="nil"/>
          <w:right w:val="nil"/>
          <w:insideH w:val="nil"/>
          <w:insideV w:val="nil"/>
        </w:tblBorders>
        <w:tblLook w:val="01E0" w:firstRow="1" w:lastRow="1" w:firstColumn="1" w:lastColumn="1" w:noHBand="0" w:noVBand="0"/>
      </w:tblPr>
      <w:tblGrid>
        <w:gridCol w:w="5130"/>
      </w:tblGrid>
      <w:tr w:rsidR="00D25299" w:rsidTr="00D25299" w14:paraId="3CF8B455" w14:textId="77777777">
        <w:tc>
          <w:tcPr>
            <w:tcW w:w="5000" w:type="pct"/>
          </w:tcPr>
          <w:p w:rsidR="00D25299" w:rsidP="00F863C3" w:rsidRDefault="00D25299" w14:paraId="259765D7" w14:textId="3CD7DEEE">
            <w:pPr>
              <w:rPr>
                <w:b/>
                <w:bCs/>
              </w:rPr>
            </w:pPr>
            <w:r>
              <w:rPr>
                <w:b/>
                <w:bCs/>
              </w:rPr>
              <w:t>Point 5.9</w:t>
            </w:r>
          </w:p>
          <w:p w:rsidR="00D25299" w:rsidP="00F863C3" w:rsidRDefault="00D25299" w14:paraId="3C2ABC0D" w14:textId="77777777">
            <w:pPr>
              <w:rPr>
                <w:b/>
                <w:bCs/>
              </w:rPr>
            </w:pPr>
            <w:r>
              <w:rPr>
                <w:b/>
                <w:bCs/>
              </w:rPr>
              <w:t>Amend as follows</w:t>
            </w:r>
          </w:p>
        </w:tc>
      </w:tr>
    </w:tbl>
    <w:p w:rsidR="00382D92" w:rsidP="00382D92" w:rsidRDefault="00382D92" w14:paraId="2C2AF939" w14:textId="77777777">
      <w:pPr>
        <w:jc w:val="center"/>
      </w:pPr>
    </w:p>
    <w:tbl>
      <w:tblPr>
        <w:tblStyle w:val="TableGrid1"/>
        <w:tblW w:w="5000" w:type="pct"/>
        <w:tblLayout w:type="fixed"/>
        <w:tblCellMar>
          <w:left w:w="115" w:type="dxa"/>
          <w:right w:w="115" w:type="dxa"/>
        </w:tblCellMar>
        <w:tblLook w:val="01E0" w:firstRow="1" w:lastRow="1" w:firstColumn="1" w:lastColumn="1" w:noHBand="0" w:noVBand="0"/>
      </w:tblPr>
      <w:tblGrid>
        <w:gridCol w:w="4531"/>
        <w:gridCol w:w="4532"/>
      </w:tblGrid>
      <w:tr w:rsidR="00382D92" w:rsidTr="00F863C3" w14:paraId="4A959D23" w14:textId="77777777">
        <w:tc>
          <w:tcPr>
            <w:tcW w:w="2500" w:type="pct"/>
            <w:tcBorders>
              <w:top w:val="single" w:color="auto" w:sz="4" w:space="0"/>
              <w:left w:val="single" w:color="auto" w:sz="4" w:space="0"/>
              <w:bottom w:val="single" w:color="auto" w:sz="4" w:space="0"/>
              <w:right w:val="single" w:color="auto" w:sz="4" w:space="0"/>
            </w:tcBorders>
            <w:hideMark/>
          </w:tcPr>
          <w:p w:rsidR="00382D92" w:rsidP="00F863C3" w:rsidRDefault="00382D92" w14:paraId="07A7B91B" w14:textId="77777777">
            <w:pPr>
              <w:jc w:val="center"/>
              <w:rPr>
                <w:b/>
                <w:bCs/>
                <w:i/>
              </w:rPr>
            </w:pPr>
            <w:r>
              <w:rPr>
                <w:b/>
                <w:bCs/>
                <w:i/>
              </w:rPr>
              <w:t>Section opinion</w:t>
            </w:r>
          </w:p>
        </w:tc>
        <w:tc>
          <w:tcPr>
            <w:tcW w:w="2500" w:type="pct"/>
            <w:tcBorders>
              <w:top w:val="single" w:color="auto" w:sz="4" w:space="0"/>
              <w:left w:val="single" w:color="auto" w:sz="4" w:space="0"/>
              <w:bottom w:val="single" w:color="auto" w:sz="4" w:space="0"/>
              <w:right w:val="single" w:color="auto" w:sz="4" w:space="0"/>
            </w:tcBorders>
            <w:hideMark/>
          </w:tcPr>
          <w:p w:rsidR="00382D92" w:rsidP="00F863C3" w:rsidRDefault="00382D92" w14:paraId="4874F987" w14:textId="77777777">
            <w:pPr>
              <w:jc w:val="center"/>
              <w:rPr>
                <w:b/>
                <w:bCs/>
                <w:i/>
              </w:rPr>
            </w:pPr>
            <w:r>
              <w:rPr>
                <w:b/>
                <w:bCs/>
                <w:i/>
              </w:rPr>
              <w:t>Amendment</w:t>
            </w:r>
          </w:p>
        </w:tc>
      </w:tr>
      <w:tr w:rsidR="00382D92" w:rsidTr="00F863C3" w14:paraId="2BB40120" w14:textId="77777777">
        <w:tc>
          <w:tcPr>
            <w:tcW w:w="2500" w:type="pct"/>
            <w:tcBorders>
              <w:top w:val="single" w:color="auto" w:sz="4" w:space="0"/>
              <w:left w:val="single" w:color="auto" w:sz="4" w:space="0"/>
              <w:bottom w:val="single" w:color="auto" w:sz="4" w:space="0"/>
              <w:right w:val="single" w:color="auto" w:sz="4" w:space="0"/>
            </w:tcBorders>
            <w:hideMark/>
          </w:tcPr>
          <w:p w:rsidR="00382D92" w:rsidP="00F863C3" w:rsidRDefault="00382D92" w14:paraId="68BA3389" w14:textId="77777777">
            <w:pPr>
              <w:spacing w:before="80" w:after="80"/>
              <w:ind w:left="80" w:right="80"/>
            </w:pPr>
            <w:r>
              <w:t>The EESC notes that the CJEU and national courts limit the possibility of introducing positive measures through national laws to remedy gender gaps in social protection.</w:t>
            </w:r>
            <w:r>
              <w:rPr>
                <w:b/>
                <w:bCs/>
                <w:i/>
              </w:rPr>
              <w:t xml:space="preserve"> It therefore suggests that the Commission and the Council carry out reforms of Directive 79/7/EC to adapt it to the present day.</w:t>
            </w:r>
            <w:r>
              <w:t xml:space="preserve"> The EESC therefore asks the Commission to assess, as soon as possible, the implementation of Directive 79/7/EC and</w:t>
            </w:r>
            <w:r>
              <w:rPr>
                <w:b/>
                <w:bCs/>
                <w:i/>
              </w:rPr>
              <w:t>, where appropriate,</w:t>
            </w:r>
            <w:r>
              <w:t xml:space="preserve"> to </w:t>
            </w:r>
            <w:r>
              <w:rPr>
                <w:b/>
                <w:bCs/>
                <w:i/>
              </w:rPr>
              <w:t>propose</w:t>
            </w:r>
            <w:r>
              <w:t xml:space="preserve"> to </w:t>
            </w:r>
            <w:r>
              <w:rPr>
                <w:b/>
                <w:bCs/>
                <w:i/>
              </w:rPr>
              <w:t>the Council and the European Parliament</w:t>
            </w:r>
            <w:r>
              <w:t xml:space="preserve"> the reforms deemed most appropriate for </w:t>
            </w:r>
            <w:r>
              <w:rPr>
                <w:b/>
                <w:bCs/>
                <w:i/>
              </w:rPr>
              <w:t>promoting,</w:t>
            </w:r>
            <w:r>
              <w:t xml:space="preserve"> at the Member State level and within the framework of the social dialogue</w:t>
            </w:r>
            <w:r>
              <w:rPr>
                <w:b/>
                <w:bCs/>
                <w:i/>
              </w:rPr>
              <w:t>, the effective correction of these gaps</w:t>
            </w:r>
            <w:r>
              <w:t xml:space="preserve">, in </w:t>
            </w:r>
            <w:r>
              <w:rPr>
                <w:b/>
                <w:bCs/>
                <w:i/>
              </w:rPr>
              <w:t>accordance with Article</w:t>
            </w:r>
            <w:r>
              <w:t xml:space="preserve"> 157(4) TFEU.</w:t>
            </w:r>
          </w:p>
        </w:tc>
        <w:tc>
          <w:tcPr>
            <w:tcW w:w="2500" w:type="pct"/>
            <w:tcBorders>
              <w:top w:val="single" w:color="auto" w:sz="4" w:space="0"/>
              <w:left w:val="single" w:color="auto" w:sz="4" w:space="0"/>
              <w:bottom w:val="single" w:color="auto" w:sz="4" w:space="0"/>
              <w:right w:val="single" w:color="auto" w:sz="4" w:space="0"/>
            </w:tcBorders>
            <w:hideMark/>
          </w:tcPr>
          <w:p w:rsidR="00382D92" w:rsidP="00F863C3" w:rsidRDefault="00382D92" w14:paraId="4A57F738" w14:textId="77777777">
            <w:pPr>
              <w:spacing w:before="80" w:after="80"/>
              <w:ind w:left="80" w:right="80"/>
            </w:pPr>
            <w:r>
              <w:t xml:space="preserve">The EESC notes that the CJEU and national courts limit the possibility of introducing positive measures through national laws to remedy gender gaps in social protection. The EESC therefore asks the Commission to assess, as soon as possible, the implementation of Directive 79/7/EC and to </w:t>
            </w:r>
            <w:r>
              <w:rPr>
                <w:b/>
                <w:bCs/>
                <w:i/>
              </w:rPr>
              <w:t>encourage Member States</w:t>
            </w:r>
            <w:r>
              <w:t xml:space="preserve"> to </w:t>
            </w:r>
            <w:r>
              <w:rPr>
                <w:b/>
                <w:bCs/>
                <w:i/>
              </w:rPr>
              <w:t>carry out,</w:t>
            </w:r>
            <w:r>
              <w:t xml:space="preserve"> the reforms deemed most appropriate for </w:t>
            </w:r>
            <w:r>
              <w:rPr>
                <w:b/>
                <w:bCs/>
                <w:i/>
              </w:rPr>
              <w:t>correcting these gaps</w:t>
            </w:r>
            <w:r>
              <w:t xml:space="preserve"> at the Member State level and within the framework of the social dialogue,</w:t>
            </w:r>
            <w:r>
              <w:rPr>
                <w:b/>
                <w:bCs/>
                <w:i/>
              </w:rPr>
              <w:t xml:space="preserve"> by adopting positive action as provided for</w:t>
            </w:r>
            <w:r>
              <w:t xml:space="preserve"> in </w:t>
            </w:r>
            <w:r>
              <w:rPr>
                <w:b/>
                <w:bCs/>
                <w:i/>
              </w:rPr>
              <w:t>Art</w:t>
            </w:r>
            <w:r>
              <w:t xml:space="preserve"> 157(4) TFEU.</w:t>
            </w:r>
          </w:p>
        </w:tc>
      </w:tr>
    </w:tbl>
    <w:tbl>
      <w:tblPr>
        <w:tblW w:w="7096" w:type="pct"/>
        <w:tblBorders>
          <w:top w:val="nil"/>
          <w:left w:val="nil"/>
          <w:bottom w:val="nil"/>
          <w:right w:val="nil"/>
          <w:insideH w:val="nil"/>
          <w:insideV w:val="nil"/>
        </w:tblBorders>
        <w:tblLook w:val="01E0" w:firstRow="1" w:lastRow="1" w:firstColumn="1" w:lastColumn="1" w:noHBand="0" w:noVBand="0"/>
      </w:tblPr>
      <w:tblGrid>
        <w:gridCol w:w="8931"/>
        <w:gridCol w:w="3945"/>
      </w:tblGrid>
      <w:tr w:rsidR="00382D92" w:rsidTr="00D25299" w14:paraId="2735C3FC" w14:textId="77777777">
        <w:tc>
          <w:tcPr>
            <w:tcW w:w="3468" w:type="pct"/>
          </w:tcPr>
          <w:p w:rsidRPr="008C381E" w:rsidR="00CE14BA" w:rsidP="00F863C3" w:rsidRDefault="00CE14BA" w14:paraId="6C24A731" w14:textId="72FCB9E7"/>
          <w:p w:rsidRPr="00CE14BA" w:rsidR="00CE14BA" w:rsidP="00F863C3" w:rsidRDefault="00CE14BA" w14:paraId="6474BA8B" w14:textId="45570DFD">
            <w:r w:rsidRPr="00CE14BA">
              <w:t xml:space="preserve">The amendment was rejected by </w:t>
            </w:r>
            <w:r w:rsidR="005F24B0">
              <w:t>90 to 82 votes, with 20 abstentions.</w:t>
            </w:r>
          </w:p>
          <w:p w:rsidRPr="008C381E" w:rsidR="00CE14BA" w:rsidP="00F863C3" w:rsidRDefault="00CE14BA" w14:paraId="48457735" w14:textId="0154EA0E"/>
          <w:p w:rsidRPr="008C381E" w:rsidR="00CE14BA" w:rsidP="00F863C3" w:rsidRDefault="00CE14BA" w14:paraId="31A3CF16" w14:textId="77777777"/>
          <w:p w:rsidR="00D25299" w:rsidP="00F863C3" w:rsidRDefault="00D25299" w14:paraId="75A0D951" w14:textId="49580112">
            <w:pPr>
              <w:rPr>
                <w:bCs/>
              </w:rPr>
            </w:pPr>
            <w:r>
              <w:rPr>
                <w:b/>
              </w:rPr>
              <w:t xml:space="preserve">Amendment 2 </w:t>
            </w:r>
            <w:r>
              <w:rPr>
                <w:bCs/>
              </w:rPr>
              <w:t xml:space="preserve">(tabled by </w:t>
            </w:r>
            <w:r w:rsidRPr="00D25299">
              <w:rPr>
                <w:bCs/>
              </w:rPr>
              <w:t>René</w:t>
            </w:r>
            <w:r>
              <w:rPr>
                <w:bCs/>
              </w:rPr>
              <w:t xml:space="preserve"> </w:t>
            </w:r>
            <w:r w:rsidRPr="00D25299">
              <w:rPr>
                <w:bCs/>
              </w:rPr>
              <w:t>Blijlevens</w:t>
            </w:r>
            <w:r>
              <w:rPr>
                <w:bCs/>
              </w:rPr>
              <w:t xml:space="preserve">, </w:t>
            </w:r>
            <w:r w:rsidRPr="00D25299">
              <w:rPr>
                <w:bCs/>
              </w:rPr>
              <w:t>Mariya</w:t>
            </w:r>
            <w:r>
              <w:rPr>
                <w:bCs/>
              </w:rPr>
              <w:t xml:space="preserve"> </w:t>
            </w:r>
            <w:r w:rsidRPr="00D25299">
              <w:rPr>
                <w:bCs/>
              </w:rPr>
              <w:t>Mincheva</w:t>
            </w:r>
            <w:r>
              <w:rPr>
                <w:bCs/>
              </w:rPr>
              <w:t xml:space="preserve">, </w:t>
            </w:r>
            <w:r w:rsidRPr="00D25299">
              <w:rPr>
                <w:bCs/>
              </w:rPr>
              <w:t>Jean-Michel</w:t>
            </w:r>
            <w:r>
              <w:rPr>
                <w:bCs/>
              </w:rPr>
              <w:t xml:space="preserve"> </w:t>
            </w:r>
            <w:r w:rsidRPr="00D25299">
              <w:rPr>
                <w:bCs/>
              </w:rPr>
              <w:t>Pottier</w:t>
            </w:r>
            <w:r>
              <w:rPr>
                <w:bCs/>
              </w:rPr>
              <w:t xml:space="preserve">, </w:t>
            </w:r>
            <w:r w:rsidRPr="00D25299">
              <w:rPr>
                <w:bCs/>
              </w:rPr>
              <w:t>Christa</w:t>
            </w:r>
            <w:r>
              <w:rPr>
                <w:bCs/>
              </w:rPr>
              <w:t xml:space="preserve"> </w:t>
            </w:r>
            <w:r w:rsidRPr="00D25299">
              <w:rPr>
                <w:bCs/>
              </w:rPr>
              <w:t>Schweng</w:t>
            </w:r>
            <w:r>
              <w:rPr>
                <w:bCs/>
              </w:rPr>
              <w:t>)</w:t>
            </w:r>
          </w:p>
          <w:p w:rsidR="00D25299" w:rsidP="00F863C3" w:rsidRDefault="00D25299" w14:paraId="1E0CE1DE" w14:textId="77777777">
            <w:pPr>
              <w:rPr>
                <w:b/>
                <w:bCs/>
              </w:rPr>
            </w:pPr>
          </w:p>
          <w:p w:rsidR="00382D92" w:rsidP="00F863C3" w:rsidRDefault="00382D92" w14:paraId="40F9B80D" w14:textId="784D5171">
            <w:pPr>
              <w:rPr>
                <w:b/>
                <w:bCs/>
              </w:rPr>
            </w:pPr>
            <w:r>
              <w:rPr>
                <w:b/>
                <w:bCs/>
              </w:rPr>
              <w:t>Point 1.5</w:t>
            </w:r>
          </w:p>
          <w:p w:rsidR="00382D92" w:rsidP="00F863C3" w:rsidRDefault="00382D92" w14:paraId="47169919" w14:textId="77777777">
            <w:pPr>
              <w:rPr>
                <w:b/>
                <w:bCs/>
              </w:rPr>
            </w:pPr>
            <w:r>
              <w:rPr>
                <w:b/>
                <w:bCs/>
              </w:rPr>
              <w:t>Amend as follows</w:t>
            </w:r>
          </w:p>
        </w:tc>
        <w:tc>
          <w:tcPr>
            <w:tcW w:w="1532" w:type="pct"/>
            <w:hideMark/>
          </w:tcPr>
          <w:p w:rsidRPr="008C381E" w:rsidR="00382D92" w:rsidP="00F863C3" w:rsidRDefault="00382D92" w14:paraId="5EA3F152" w14:textId="77777777">
            <w:pPr>
              <w:jc w:val="left"/>
            </w:pPr>
          </w:p>
          <w:p w:rsidR="00382D92" w:rsidP="00F863C3" w:rsidRDefault="00382D92" w14:paraId="322742AD" w14:textId="77777777"/>
        </w:tc>
      </w:tr>
    </w:tbl>
    <w:p w:rsidR="00382D92" w:rsidP="00382D92" w:rsidRDefault="00382D92" w14:paraId="54AC6BEB" w14:textId="77777777">
      <w:pPr>
        <w:jc w:val="center"/>
      </w:pPr>
    </w:p>
    <w:tbl>
      <w:tblPr>
        <w:tblStyle w:val="TableGrid1"/>
        <w:tblW w:w="5000" w:type="pct"/>
        <w:tblLayout w:type="fixed"/>
        <w:tblCellMar>
          <w:left w:w="115" w:type="dxa"/>
          <w:right w:w="115" w:type="dxa"/>
        </w:tblCellMar>
        <w:tblLook w:val="01E0" w:firstRow="1" w:lastRow="1" w:firstColumn="1" w:lastColumn="1" w:noHBand="0" w:noVBand="0"/>
      </w:tblPr>
      <w:tblGrid>
        <w:gridCol w:w="4531"/>
        <w:gridCol w:w="4532"/>
      </w:tblGrid>
      <w:tr w:rsidR="00382D92" w:rsidTr="00F863C3" w14:paraId="5562729F" w14:textId="77777777">
        <w:tc>
          <w:tcPr>
            <w:tcW w:w="2500" w:type="pct"/>
            <w:tcBorders>
              <w:top w:val="single" w:color="auto" w:sz="4" w:space="0"/>
              <w:left w:val="single" w:color="auto" w:sz="4" w:space="0"/>
              <w:bottom w:val="single" w:color="auto" w:sz="4" w:space="0"/>
              <w:right w:val="single" w:color="auto" w:sz="4" w:space="0"/>
            </w:tcBorders>
            <w:hideMark/>
          </w:tcPr>
          <w:p w:rsidR="00382D92" w:rsidP="00F863C3" w:rsidRDefault="00382D92" w14:paraId="75B4FA3F" w14:textId="77777777">
            <w:pPr>
              <w:jc w:val="center"/>
              <w:rPr>
                <w:b/>
                <w:bCs/>
                <w:i/>
              </w:rPr>
            </w:pPr>
            <w:r>
              <w:rPr>
                <w:b/>
                <w:bCs/>
                <w:i/>
              </w:rPr>
              <w:t>Section opinion</w:t>
            </w:r>
          </w:p>
        </w:tc>
        <w:tc>
          <w:tcPr>
            <w:tcW w:w="2500" w:type="pct"/>
            <w:tcBorders>
              <w:top w:val="single" w:color="auto" w:sz="4" w:space="0"/>
              <w:left w:val="single" w:color="auto" w:sz="4" w:space="0"/>
              <w:bottom w:val="single" w:color="auto" w:sz="4" w:space="0"/>
              <w:right w:val="single" w:color="auto" w:sz="4" w:space="0"/>
            </w:tcBorders>
            <w:hideMark/>
          </w:tcPr>
          <w:p w:rsidR="00382D92" w:rsidP="00F863C3" w:rsidRDefault="00382D92" w14:paraId="3AF147F6" w14:textId="77777777">
            <w:pPr>
              <w:jc w:val="center"/>
              <w:rPr>
                <w:b/>
                <w:bCs/>
                <w:i/>
              </w:rPr>
            </w:pPr>
            <w:r>
              <w:rPr>
                <w:b/>
                <w:bCs/>
                <w:i/>
              </w:rPr>
              <w:t>Amendment</w:t>
            </w:r>
          </w:p>
        </w:tc>
      </w:tr>
      <w:tr w:rsidR="00382D92" w:rsidTr="00F863C3" w14:paraId="487D17FB" w14:textId="77777777">
        <w:tc>
          <w:tcPr>
            <w:tcW w:w="2500" w:type="pct"/>
            <w:tcBorders>
              <w:top w:val="single" w:color="auto" w:sz="4" w:space="0"/>
              <w:left w:val="single" w:color="auto" w:sz="4" w:space="0"/>
              <w:bottom w:val="single" w:color="auto" w:sz="4" w:space="0"/>
              <w:right w:val="single" w:color="auto" w:sz="4" w:space="0"/>
            </w:tcBorders>
            <w:hideMark/>
          </w:tcPr>
          <w:p w:rsidR="00382D92" w:rsidP="00F863C3" w:rsidRDefault="00382D92" w14:paraId="3CD417D3" w14:textId="77777777">
            <w:pPr>
              <w:spacing w:before="80" w:after="40"/>
              <w:ind w:left="80" w:right="80"/>
            </w:pPr>
            <w:r>
              <w:t xml:space="preserve">The EESC thinks that, without prejudice to the </w:t>
            </w:r>
            <w:r>
              <w:rPr>
                <w:b/>
                <w:bCs/>
                <w:i/>
              </w:rPr>
              <w:t>possibility of exploring a regulatory instrument</w:t>
            </w:r>
            <w:r>
              <w:t>, the path outlined in the Council Recommendation for the Member States on access to sustainable social protection for employed workers and the self-employed will enable progress to be made on:</w:t>
            </w:r>
          </w:p>
          <w:p w:rsidR="00382D92" w:rsidP="00F863C3" w:rsidRDefault="00382D92" w14:paraId="2FA2E03B" w14:textId="77777777">
            <w:pPr>
              <w:spacing w:before="40" w:after="40"/>
              <w:ind w:left="80" w:right="80"/>
            </w:pPr>
            <w:r>
              <w:t>a) adequate social protection schemes (closing gaps in formal access);</w:t>
            </w:r>
          </w:p>
          <w:p w:rsidR="00382D92" w:rsidP="00F863C3" w:rsidRDefault="00382D92" w14:paraId="16810476" w14:textId="77777777">
            <w:pPr>
              <w:spacing w:before="40" w:after="40"/>
              <w:ind w:left="80" w:right="80"/>
            </w:pPr>
            <w:r>
              <w:t>b) rights that are cumulative or transferable between systems (effective coverage);</w:t>
            </w:r>
          </w:p>
          <w:p w:rsidR="00382D92" w:rsidP="00F863C3" w:rsidRDefault="00382D92" w14:paraId="6E94F237" w14:textId="77777777">
            <w:pPr>
              <w:spacing w:before="40" w:after="40"/>
              <w:ind w:left="80" w:right="80"/>
            </w:pPr>
            <w:r>
              <w:t>c) sufficient benefits, with a proportional contribution (adequacy);</w:t>
            </w:r>
          </w:p>
          <w:p w:rsidR="00382D92" w:rsidP="00F863C3" w:rsidRDefault="00382D92" w14:paraId="631D0F88" w14:textId="77777777">
            <w:pPr>
              <w:spacing w:before="40" w:after="80"/>
              <w:ind w:left="80" w:right="80"/>
            </w:pPr>
            <w:r>
              <w:t>d) adequate information on rights and obligations (transparency).</w:t>
            </w:r>
          </w:p>
        </w:tc>
        <w:tc>
          <w:tcPr>
            <w:tcW w:w="2500" w:type="pct"/>
            <w:tcBorders>
              <w:top w:val="single" w:color="auto" w:sz="4" w:space="0"/>
              <w:left w:val="single" w:color="auto" w:sz="4" w:space="0"/>
              <w:bottom w:val="single" w:color="auto" w:sz="4" w:space="0"/>
              <w:right w:val="single" w:color="auto" w:sz="4" w:space="0"/>
            </w:tcBorders>
            <w:hideMark/>
          </w:tcPr>
          <w:p w:rsidR="00382D92" w:rsidP="00F863C3" w:rsidRDefault="00382D92" w14:paraId="6CE9AF71" w14:textId="77777777">
            <w:pPr>
              <w:spacing w:before="80" w:after="40"/>
              <w:ind w:left="80" w:right="80"/>
            </w:pPr>
            <w:r>
              <w:t xml:space="preserve">The EESC thinks that, without prejudice to </w:t>
            </w:r>
            <w:r>
              <w:rPr>
                <w:b/>
                <w:bCs/>
                <w:i/>
              </w:rPr>
              <w:t>eventual further EU measures to address</w:t>
            </w:r>
            <w:r>
              <w:t xml:space="preserve"> the </w:t>
            </w:r>
            <w:r>
              <w:rPr>
                <w:b/>
                <w:bCs/>
                <w:i/>
              </w:rPr>
              <w:t>remaining challenges</w:t>
            </w:r>
            <w:r>
              <w:t>, the path outlined in the Council Recommendation for the Member States on access to sustainable social protection for employed workers and the self-employed will enable progress to be made on:</w:t>
            </w:r>
          </w:p>
          <w:p w:rsidR="00382D92" w:rsidP="00F863C3" w:rsidRDefault="00382D92" w14:paraId="5BFC767D" w14:textId="77777777">
            <w:pPr>
              <w:spacing w:before="40" w:after="40"/>
              <w:ind w:left="80" w:right="80"/>
            </w:pPr>
            <w:r>
              <w:t>a) adequate social protection schemes (closing gaps in formal access);</w:t>
            </w:r>
          </w:p>
          <w:p w:rsidR="00382D92" w:rsidP="00F863C3" w:rsidRDefault="00382D92" w14:paraId="7F5A7DBC" w14:textId="77777777">
            <w:pPr>
              <w:spacing w:before="40" w:after="40"/>
              <w:ind w:left="80" w:right="80"/>
            </w:pPr>
            <w:r>
              <w:t>b) rights that are cumulative or transferable between systems (effective coverage);</w:t>
            </w:r>
          </w:p>
          <w:p w:rsidR="00382D92" w:rsidP="00F863C3" w:rsidRDefault="00382D92" w14:paraId="4D969DD1" w14:textId="77777777">
            <w:pPr>
              <w:spacing w:before="40" w:after="40"/>
              <w:ind w:left="80" w:right="80"/>
            </w:pPr>
            <w:r>
              <w:t>c) sufficient benefits, with a proportional contribution (adequacy);</w:t>
            </w:r>
          </w:p>
          <w:p w:rsidR="00382D92" w:rsidP="00F863C3" w:rsidRDefault="00382D92" w14:paraId="263132F8" w14:textId="77777777">
            <w:pPr>
              <w:spacing w:before="40" w:after="80"/>
              <w:ind w:left="80" w:right="80"/>
            </w:pPr>
            <w:r>
              <w:t>d) adequate information on rights and obligations (transparency).</w:t>
            </w:r>
          </w:p>
        </w:tc>
      </w:tr>
    </w:tbl>
    <w:tbl>
      <w:tblPr>
        <w:tblW w:w="4999" w:type="pct"/>
        <w:tblBorders>
          <w:top w:val="nil"/>
          <w:left w:val="nil"/>
          <w:bottom w:val="nil"/>
          <w:right w:val="nil"/>
          <w:insideH w:val="nil"/>
          <w:insideV w:val="nil"/>
        </w:tblBorders>
        <w:tblLook w:val="01E0" w:firstRow="1" w:lastRow="1" w:firstColumn="1" w:lastColumn="1" w:noHBand="0" w:noVBand="0"/>
      </w:tblPr>
      <w:tblGrid>
        <w:gridCol w:w="9071"/>
      </w:tblGrid>
      <w:tr w:rsidR="00D25299" w:rsidTr="00D25299" w14:paraId="086089E0" w14:textId="77777777">
        <w:tc>
          <w:tcPr>
            <w:tcW w:w="5000" w:type="pct"/>
          </w:tcPr>
          <w:p w:rsidRPr="008C381E" w:rsidR="00D25299" w:rsidP="00F863C3" w:rsidRDefault="00D25299" w14:paraId="4CAB5041" w14:textId="77777777">
            <w:pPr>
              <w:rPr>
                <w:bCs/>
              </w:rPr>
            </w:pPr>
          </w:p>
          <w:p w:rsidR="00D25299" w:rsidP="00F863C3" w:rsidRDefault="00CE14BA" w14:paraId="180F2DF2" w14:textId="5728496C">
            <w:r w:rsidRPr="00CE14BA">
              <w:t xml:space="preserve">The amendment was rejected by </w:t>
            </w:r>
            <w:r w:rsidR="005F24B0">
              <w:t>105 to 81 votes, with 12 abstentions.</w:t>
            </w:r>
          </w:p>
          <w:p w:rsidR="00CE14BA" w:rsidP="00F863C3" w:rsidRDefault="00CE14BA" w14:paraId="51772BC4" w14:textId="5091F809"/>
          <w:p w:rsidRPr="008C381E" w:rsidR="00CE14BA" w:rsidP="00F863C3" w:rsidRDefault="00CE14BA" w14:paraId="0AE54485" w14:textId="77777777">
            <w:pPr>
              <w:rPr>
                <w:bCs/>
              </w:rPr>
            </w:pPr>
          </w:p>
          <w:p w:rsidR="00D25299" w:rsidP="00F863C3" w:rsidRDefault="00D25299" w14:paraId="03188747" w14:textId="5290CCD7">
            <w:pPr>
              <w:rPr>
                <w:b/>
                <w:bCs/>
              </w:rPr>
            </w:pPr>
            <w:r>
              <w:rPr>
                <w:b/>
              </w:rPr>
              <w:t xml:space="preserve">Amendment 3 </w:t>
            </w:r>
            <w:r>
              <w:rPr>
                <w:bCs/>
              </w:rPr>
              <w:t xml:space="preserve">(tabled by </w:t>
            </w:r>
            <w:r w:rsidRPr="00D25299">
              <w:rPr>
                <w:bCs/>
              </w:rPr>
              <w:t>René</w:t>
            </w:r>
            <w:r>
              <w:rPr>
                <w:bCs/>
              </w:rPr>
              <w:t xml:space="preserve"> </w:t>
            </w:r>
            <w:r w:rsidRPr="00D25299">
              <w:rPr>
                <w:bCs/>
              </w:rPr>
              <w:t>Blijlevens</w:t>
            </w:r>
            <w:r>
              <w:rPr>
                <w:bCs/>
              </w:rPr>
              <w:t xml:space="preserve">, </w:t>
            </w:r>
            <w:r w:rsidRPr="00D25299">
              <w:rPr>
                <w:bCs/>
              </w:rPr>
              <w:t>Mariya</w:t>
            </w:r>
            <w:r>
              <w:rPr>
                <w:bCs/>
              </w:rPr>
              <w:t xml:space="preserve"> </w:t>
            </w:r>
            <w:r w:rsidRPr="00D25299">
              <w:rPr>
                <w:bCs/>
              </w:rPr>
              <w:t>Mincheva</w:t>
            </w:r>
            <w:r>
              <w:rPr>
                <w:bCs/>
              </w:rPr>
              <w:t xml:space="preserve">, </w:t>
            </w:r>
            <w:r w:rsidRPr="00D25299">
              <w:rPr>
                <w:bCs/>
              </w:rPr>
              <w:t>Jean-Michel</w:t>
            </w:r>
            <w:r>
              <w:rPr>
                <w:bCs/>
              </w:rPr>
              <w:t xml:space="preserve"> </w:t>
            </w:r>
            <w:r w:rsidRPr="00D25299">
              <w:rPr>
                <w:bCs/>
              </w:rPr>
              <w:t>Pottier</w:t>
            </w:r>
            <w:r>
              <w:rPr>
                <w:bCs/>
              </w:rPr>
              <w:t xml:space="preserve">, </w:t>
            </w:r>
            <w:r w:rsidRPr="00D25299">
              <w:rPr>
                <w:bCs/>
              </w:rPr>
              <w:t>Christa</w:t>
            </w:r>
            <w:r>
              <w:rPr>
                <w:bCs/>
              </w:rPr>
              <w:t xml:space="preserve"> </w:t>
            </w:r>
            <w:r w:rsidRPr="00D25299">
              <w:rPr>
                <w:bCs/>
              </w:rPr>
              <w:t>Schweng</w:t>
            </w:r>
            <w:r>
              <w:rPr>
                <w:bCs/>
              </w:rPr>
              <w:t>)</w:t>
            </w:r>
          </w:p>
          <w:p w:rsidR="00D25299" w:rsidP="00F863C3" w:rsidRDefault="00D25299" w14:paraId="5F0A524F" w14:textId="77777777">
            <w:pPr>
              <w:rPr>
                <w:b/>
                <w:bCs/>
              </w:rPr>
            </w:pPr>
          </w:p>
          <w:p w:rsidR="00D25299" w:rsidP="00F863C3" w:rsidRDefault="00D25299" w14:paraId="096DA258" w14:textId="715A15AC">
            <w:pPr>
              <w:rPr>
                <w:b/>
                <w:bCs/>
              </w:rPr>
            </w:pPr>
            <w:r>
              <w:rPr>
                <w:b/>
                <w:bCs/>
              </w:rPr>
              <w:t>Point 1.9</w:t>
            </w:r>
          </w:p>
          <w:p w:rsidR="00D25299" w:rsidP="00F863C3" w:rsidRDefault="00D25299" w14:paraId="4DF9CC0E" w14:textId="77777777">
            <w:pPr>
              <w:rPr>
                <w:b/>
                <w:bCs/>
              </w:rPr>
            </w:pPr>
            <w:r>
              <w:rPr>
                <w:b/>
                <w:bCs/>
              </w:rPr>
              <w:t>Amend as follows</w:t>
            </w:r>
          </w:p>
        </w:tc>
      </w:tr>
    </w:tbl>
    <w:p w:rsidR="00382D92" w:rsidP="00382D92" w:rsidRDefault="00382D92" w14:paraId="7A961E87" w14:textId="77777777">
      <w:pPr>
        <w:jc w:val="center"/>
      </w:pPr>
    </w:p>
    <w:tbl>
      <w:tblPr>
        <w:tblStyle w:val="TableGrid1"/>
        <w:tblW w:w="5000" w:type="pct"/>
        <w:tblLayout w:type="fixed"/>
        <w:tblCellMar>
          <w:left w:w="115" w:type="dxa"/>
          <w:right w:w="115" w:type="dxa"/>
        </w:tblCellMar>
        <w:tblLook w:val="01E0" w:firstRow="1" w:lastRow="1" w:firstColumn="1" w:lastColumn="1" w:noHBand="0" w:noVBand="0"/>
      </w:tblPr>
      <w:tblGrid>
        <w:gridCol w:w="4531"/>
        <w:gridCol w:w="4532"/>
      </w:tblGrid>
      <w:tr w:rsidR="00382D92" w:rsidTr="00F863C3" w14:paraId="57C7F4A3" w14:textId="77777777">
        <w:tc>
          <w:tcPr>
            <w:tcW w:w="2500" w:type="pct"/>
            <w:tcBorders>
              <w:top w:val="single" w:color="auto" w:sz="4" w:space="0"/>
              <w:left w:val="single" w:color="auto" w:sz="4" w:space="0"/>
              <w:bottom w:val="single" w:color="auto" w:sz="4" w:space="0"/>
              <w:right w:val="single" w:color="auto" w:sz="4" w:space="0"/>
            </w:tcBorders>
            <w:hideMark/>
          </w:tcPr>
          <w:p w:rsidR="00382D92" w:rsidP="00F863C3" w:rsidRDefault="00382D92" w14:paraId="6C1E1E2C" w14:textId="77777777">
            <w:pPr>
              <w:jc w:val="center"/>
              <w:rPr>
                <w:b/>
                <w:bCs/>
                <w:i/>
              </w:rPr>
            </w:pPr>
            <w:r>
              <w:rPr>
                <w:b/>
                <w:bCs/>
                <w:i/>
              </w:rPr>
              <w:t>Section opinion</w:t>
            </w:r>
          </w:p>
        </w:tc>
        <w:tc>
          <w:tcPr>
            <w:tcW w:w="2500" w:type="pct"/>
            <w:tcBorders>
              <w:top w:val="single" w:color="auto" w:sz="4" w:space="0"/>
              <w:left w:val="single" w:color="auto" w:sz="4" w:space="0"/>
              <w:bottom w:val="single" w:color="auto" w:sz="4" w:space="0"/>
              <w:right w:val="single" w:color="auto" w:sz="4" w:space="0"/>
            </w:tcBorders>
            <w:hideMark/>
          </w:tcPr>
          <w:p w:rsidR="00382D92" w:rsidP="00F863C3" w:rsidRDefault="00382D92" w14:paraId="5A786502" w14:textId="77777777">
            <w:pPr>
              <w:jc w:val="center"/>
              <w:rPr>
                <w:b/>
                <w:bCs/>
                <w:i/>
              </w:rPr>
            </w:pPr>
            <w:r>
              <w:rPr>
                <w:b/>
                <w:bCs/>
                <w:i/>
              </w:rPr>
              <w:t>Amendment</w:t>
            </w:r>
          </w:p>
        </w:tc>
      </w:tr>
      <w:tr w:rsidR="00382D92" w:rsidTr="00F863C3" w14:paraId="25AA481C" w14:textId="77777777">
        <w:tc>
          <w:tcPr>
            <w:tcW w:w="2500" w:type="pct"/>
            <w:tcBorders>
              <w:top w:val="single" w:color="auto" w:sz="4" w:space="0"/>
              <w:left w:val="single" w:color="auto" w:sz="4" w:space="0"/>
              <w:bottom w:val="single" w:color="auto" w:sz="4" w:space="0"/>
              <w:right w:val="single" w:color="auto" w:sz="4" w:space="0"/>
            </w:tcBorders>
            <w:hideMark/>
          </w:tcPr>
          <w:p w:rsidR="00382D92" w:rsidP="00F863C3" w:rsidRDefault="00382D92" w14:paraId="2D00F52C" w14:textId="77777777">
            <w:pPr>
              <w:spacing w:before="80" w:after="80"/>
              <w:ind w:left="80" w:right="80"/>
            </w:pPr>
            <w:r>
              <w:t>The EESC notes that the Court of Justice of the European Union (CJEU) and national courts limit the possibility of introducing positive measures through national laws to remedy gender gaps in social protection.</w:t>
            </w:r>
            <w:r>
              <w:rPr>
                <w:b/>
                <w:bCs/>
                <w:i/>
              </w:rPr>
              <w:t xml:space="preserve"> It therefore suggests that the Commission and the Council carry out reforms of Directive 79/7/EC to adapt it to the present day.</w:t>
            </w:r>
            <w:r>
              <w:t xml:space="preserve"> The EESC therefore asks the Commission to assess, as soon as possible, the implementation of Directive 79/7/EC and</w:t>
            </w:r>
            <w:r>
              <w:rPr>
                <w:b/>
                <w:bCs/>
                <w:i/>
              </w:rPr>
              <w:t>, where appropriate, to propose</w:t>
            </w:r>
            <w:r>
              <w:t xml:space="preserve"> to </w:t>
            </w:r>
            <w:r>
              <w:rPr>
                <w:b/>
                <w:bCs/>
                <w:i/>
              </w:rPr>
              <w:t>the Council and the European Parliament the</w:t>
            </w:r>
            <w:r>
              <w:t xml:space="preserve"> reforms deemed most appropriate </w:t>
            </w:r>
            <w:r>
              <w:rPr>
                <w:b/>
                <w:bCs/>
                <w:i/>
              </w:rPr>
              <w:t>for promoting</w:t>
            </w:r>
            <w:r>
              <w:t>, at the Member State level and within the framework of the social dialogue</w:t>
            </w:r>
            <w:r>
              <w:rPr>
                <w:b/>
                <w:bCs/>
                <w:i/>
              </w:rPr>
              <w:t>, the effective correction of these gaps,</w:t>
            </w:r>
            <w:r>
              <w:t xml:space="preserve"> in </w:t>
            </w:r>
            <w:r>
              <w:rPr>
                <w:b/>
                <w:bCs/>
                <w:i/>
              </w:rPr>
              <w:t>accordance with Article</w:t>
            </w:r>
            <w:r>
              <w:t xml:space="preserve"> 157(4) TFEU.</w:t>
            </w:r>
          </w:p>
        </w:tc>
        <w:tc>
          <w:tcPr>
            <w:tcW w:w="2500" w:type="pct"/>
            <w:tcBorders>
              <w:top w:val="single" w:color="auto" w:sz="4" w:space="0"/>
              <w:left w:val="single" w:color="auto" w:sz="4" w:space="0"/>
              <w:bottom w:val="single" w:color="auto" w:sz="4" w:space="0"/>
              <w:right w:val="single" w:color="auto" w:sz="4" w:space="0"/>
            </w:tcBorders>
            <w:hideMark/>
          </w:tcPr>
          <w:p w:rsidR="00382D92" w:rsidP="00F863C3" w:rsidRDefault="00382D92" w14:paraId="18CA584D" w14:textId="77777777">
            <w:pPr>
              <w:spacing w:before="80" w:after="80"/>
              <w:ind w:left="80" w:right="80"/>
            </w:pPr>
            <w:r>
              <w:t xml:space="preserve">The EESC notes that the Court of Justice of the European Union (CJEU) and national courts limit the possibility of introducing positive measures through national laws to remedy gender gaps in social protection. The EESC therefore asks the Commission to assess, as soon as possible, the implementation of Directive 79/7/EC and </w:t>
            </w:r>
            <w:r>
              <w:rPr>
                <w:b/>
                <w:bCs/>
                <w:i/>
              </w:rPr>
              <w:t>encourage Member States</w:t>
            </w:r>
            <w:r>
              <w:t xml:space="preserve"> to </w:t>
            </w:r>
            <w:r>
              <w:rPr>
                <w:b/>
                <w:bCs/>
                <w:i/>
              </w:rPr>
              <w:t>carry out</w:t>
            </w:r>
            <w:r>
              <w:t xml:space="preserve"> reforms deemed most appropriate </w:t>
            </w:r>
            <w:r>
              <w:rPr>
                <w:b/>
                <w:bCs/>
                <w:i/>
              </w:rPr>
              <w:t>to correct these gaps effectively</w:t>
            </w:r>
            <w:r>
              <w:t xml:space="preserve">, at the Member State level and within the framework of the social dialogue </w:t>
            </w:r>
            <w:r>
              <w:rPr>
                <w:b/>
                <w:bCs/>
                <w:i/>
              </w:rPr>
              <w:t>by adopting positive action as provided for</w:t>
            </w:r>
            <w:r>
              <w:t xml:space="preserve"> in </w:t>
            </w:r>
            <w:r>
              <w:rPr>
                <w:b/>
                <w:bCs/>
                <w:i/>
              </w:rPr>
              <w:t>Art</w:t>
            </w:r>
            <w:r>
              <w:t xml:space="preserve"> 157(4) TFEU.</w:t>
            </w:r>
          </w:p>
        </w:tc>
      </w:tr>
    </w:tbl>
    <w:p w:rsidR="00382D92" w:rsidP="00382D92" w:rsidRDefault="00382D92" w14:paraId="331400D4" w14:textId="77777777"/>
    <w:p w:rsidR="00382D92" w:rsidP="00EC0F0F" w:rsidRDefault="00CE14BA" w14:paraId="41EC4DF0" w14:textId="45DF4FF9">
      <w:r w:rsidRPr="00CE14BA">
        <w:t xml:space="preserve">The amendment was rejected by </w:t>
      </w:r>
      <w:r w:rsidR="005F24B0">
        <w:t>90 to 82 votes, with 20 abstentions (s</w:t>
      </w:r>
      <w:r w:rsidRPr="00207940" w:rsidR="005F24B0">
        <w:t xml:space="preserve">ame result as amendment </w:t>
      </w:r>
      <w:r w:rsidR="005F24B0">
        <w:t>1</w:t>
      </w:r>
      <w:r w:rsidRPr="00207940" w:rsidR="005F24B0">
        <w:t xml:space="preserve"> on point 5.9 (linked amendments)</w:t>
      </w:r>
      <w:r w:rsidR="005F24B0">
        <w:t>).</w:t>
      </w:r>
    </w:p>
    <w:p w:rsidR="00CE14BA" w:rsidP="00EC0F0F" w:rsidRDefault="00CE14BA" w14:paraId="3094FF7F" w14:textId="77777777"/>
    <w:p w:rsidRPr="00A67235" w:rsidR="00382D92" w:rsidP="00EC0F0F" w:rsidRDefault="00382D92" w14:paraId="185133D3" w14:textId="77777777"/>
    <w:p w:rsidRPr="00A67235" w:rsidR="000E4B6B" w:rsidP="00EC0F0F" w:rsidRDefault="000E4B6B" w14:paraId="0133C75D" w14:textId="50445DEB">
      <w:r w:rsidRPr="00A67235">
        <w:t>The opinion was adopted by</w:t>
      </w:r>
      <w:r w:rsidR="00177DAC">
        <w:t xml:space="preserve"> </w:t>
      </w:r>
      <w:r w:rsidR="00382D92">
        <w:t>140 votes to 13 with 51 abstentions.</w:t>
      </w:r>
    </w:p>
    <w:p w:rsidRPr="00A67235" w:rsidR="000E4B6B" w:rsidP="00EC0F0F" w:rsidRDefault="000E4B6B" w14:paraId="3A73E4F8" w14:textId="77777777">
      <w:pPr>
        <w:rPr>
          <w:b/>
          <w:bCs/>
        </w:rPr>
      </w:pPr>
    </w:p>
    <w:p w:rsidRPr="00A67235" w:rsidR="000E4B6B" w:rsidP="00EC0F0F" w:rsidRDefault="000E4B6B" w14:paraId="0B23E20E" w14:textId="77777777">
      <w:pPr>
        <w:jc w:val="center"/>
      </w:pPr>
      <w:r w:rsidRPr="00A67235">
        <w:t>_____________</w:t>
      </w:r>
    </w:p>
    <w:sectPr w:rsidRPr="00A67235" w:rsidR="000E4B6B" w:rsidSect="00EC0F0F">
      <w:footerReference w:type="default" r:id="rId12"/>
      <w:pgSz w:w="11907" w:h="16839" w:code="9"/>
      <w:pgMar w:top="1417" w:right="1417" w:bottom="1417"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175D4" w14:textId="77777777" w:rsidR="000D6AA3" w:rsidRDefault="000D6AA3">
      <w:r>
        <w:separator/>
      </w:r>
    </w:p>
  </w:endnote>
  <w:endnote w:type="continuationSeparator" w:id="0">
    <w:p w14:paraId="6DA1D292" w14:textId="77777777" w:rsidR="000D6AA3" w:rsidRDefault="000D6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45121" w14:textId="59CE2BAB" w:rsidR="00964A13" w:rsidRPr="00964A13" w:rsidRDefault="0028330F" w:rsidP="00964A13">
    <w:pPr>
      <w:pStyle w:val="Footer"/>
    </w:pPr>
    <w:r w:rsidRPr="0028330F">
      <w:t>EESC-2024-01141-00-00-CR-TRA</w:t>
    </w:r>
    <w:r>
      <w:t xml:space="preserve"> </w:t>
    </w:r>
    <w:r w:rsidR="00964A13">
      <w:t>(</w:t>
    </w:r>
    <w:r>
      <w:t>EN</w:t>
    </w:r>
    <w:r w:rsidR="00964A13">
      <w:t xml:space="preserve">) </w:t>
    </w:r>
    <w:r w:rsidR="00964A13">
      <w:fldChar w:fldCharType="begin"/>
    </w:r>
    <w:r w:rsidR="00964A13">
      <w:instrText xml:space="preserve"> PAGE  \* Arabic  \* MERGEFORMAT </w:instrText>
    </w:r>
    <w:r w:rsidR="00964A13">
      <w:fldChar w:fldCharType="separate"/>
    </w:r>
    <w:r w:rsidR="00DB7F46">
      <w:rPr>
        <w:noProof/>
      </w:rPr>
      <w:t>1</w:t>
    </w:r>
    <w:r w:rsidR="00964A13">
      <w:fldChar w:fldCharType="end"/>
    </w:r>
    <w:r w:rsidR="00964A13">
      <w:t>/</w:t>
    </w:r>
    <w:r w:rsidR="00964A13">
      <w:fldChar w:fldCharType="begin"/>
    </w:r>
    <w:r w:rsidR="00964A13">
      <w:instrText xml:space="preserve"> = </w:instrText>
    </w:r>
    <w:r w:rsidR="00964A13">
      <w:fldChar w:fldCharType="begin"/>
    </w:r>
    <w:r w:rsidR="00964A13">
      <w:instrText xml:space="preserve"> NUMPAGES </w:instrText>
    </w:r>
    <w:r w:rsidR="00964A13">
      <w:fldChar w:fldCharType="separate"/>
    </w:r>
    <w:r w:rsidR="00DB7F46">
      <w:rPr>
        <w:noProof/>
      </w:rPr>
      <w:instrText>1</w:instrText>
    </w:r>
    <w:r w:rsidR="00964A13">
      <w:fldChar w:fldCharType="end"/>
    </w:r>
    <w:r w:rsidR="00964A13">
      <w:instrText xml:space="preserve"> -0 </w:instrText>
    </w:r>
    <w:r w:rsidR="00964A13">
      <w:fldChar w:fldCharType="separate"/>
    </w:r>
    <w:r w:rsidR="00DB7F46">
      <w:rPr>
        <w:noProof/>
      </w:rPr>
      <w:t>1</w:t>
    </w:r>
    <w:r w:rsidR="00964A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299F0" w14:textId="77777777" w:rsidR="000D6AA3" w:rsidRDefault="000D6AA3">
      <w:r>
        <w:separator/>
      </w:r>
    </w:p>
  </w:footnote>
  <w:footnote w:type="continuationSeparator" w:id="0">
    <w:p w14:paraId="36EE9532" w14:textId="77777777" w:rsidR="000D6AA3" w:rsidRDefault="000D6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3AC56566"/>
    <w:multiLevelType w:val="hybridMultilevel"/>
    <w:tmpl w:val="A50C394E"/>
    <w:lvl w:ilvl="0" w:tplc="87125F4E">
      <w:start w:val="1"/>
      <w:numFmt w:val="bullet"/>
      <w:lvlRestart w:val="0"/>
      <w:lvlText w:val=""/>
      <w:lvlJc w:val="left"/>
      <w:pPr>
        <w:tabs>
          <w:tab w:val="num" w:pos="720"/>
        </w:tabs>
        <w:ind w:left="1089" w:hanging="369"/>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6E063133"/>
    <w:multiLevelType w:val="hybridMultilevel"/>
    <w:tmpl w:val="37BA42EA"/>
    <w:lvl w:ilvl="0" w:tplc="61429412">
      <w:start w:val="1"/>
      <w:numFmt w:val="bullet"/>
      <w:lvlRestart w:val="0"/>
      <w:lvlText w:val="–"/>
      <w:lvlJc w:val="left"/>
      <w:pPr>
        <w:tabs>
          <w:tab w:val="num" w:pos="1089"/>
        </w:tabs>
        <w:ind w:left="1089" w:hanging="369"/>
      </w:pPr>
      <w:rPr>
        <w:rFonts w:ascii="Times New Roman" w:hAnsi="Times New Roman"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299"/>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604"/>
    <w:rsid w:val="00036097"/>
    <w:rsid w:val="00062091"/>
    <w:rsid w:val="000A7AA5"/>
    <w:rsid w:val="000B3441"/>
    <w:rsid w:val="000C5E37"/>
    <w:rsid w:val="000D6AA3"/>
    <w:rsid w:val="000E4B6B"/>
    <w:rsid w:val="000F03D6"/>
    <w:rsid w:val="00143A71"/>
    <w:rsid w:val="001455EA"/>
    <w:rsid w:val="0015330A"/>
    <w:rsid w:val="00156B57"/>
    <w:rsid w:val="00165632"/>
    <w:rsid w:val="001766AB"/>
    <w:rsid w:val="00177DAC"/>
    <w:rsid w:val="001B5345"/>
    <w:rsid w:val="001C7254"/>
    <w:rsid w:val="002346F9"/>
    <w:rsid w:val="002601CF"/>
    <w:rsid w:val="00273FDB"/>
    <w:rsid w:val="0028330F"/>
    <w:rsid w:val="002925F3"/>
    <w:rsid w:val="00297572"/>
    <w:rsid w:val="00320C0B"/>
    <w:rsid w:val="003439B0"/>
    <w:rsid w:val="00382D92"/>
    <w:rsid w:val="003876B5"/>
    <w:rsid w:val="00392924"/>
    <w:rsid w:val="003B1578"/>
    <w:rsid w:val="003C15D7"/>
    <w:rsid w:val="003C2604"/>
    <w:rsid w:val="003E1619"/>
    <w:rsid w:val="00423299"/>
    <w:rsid w:val="00460CC5"/>
    <w:rsid w:val="004A0843"/>
    <w:rsid w:val="00501C07"/>
    <w:rsid w:val="005205F4"/>
    <w:rsid w:val="00564B0D"/>
    <w:rsid w:val="00572C76"/>
    <w:rsid w:val="00590C1E"/>
    <w:rsid w:val="005E1A79"/>
    <w:rsid w:val="005F24B0"/>
    <w:rsid w:val="006166CE"/>
    <w:rsid w:val="00646E27"/>
    <w:rsid w:val="0073571F"/>
    <w:rsid w:val="007C6A55"/>
    <w:rsid w:val="00815851"/>
    <w:rsid w:val="00826375"/>
    <w:rsid w:val="00862EFF"/>
    <w:rsid w:val="008A371F"/>
    <w:rsid w:val="008C381E"/>
    <w:rsid w:val="008E0097"/>
    <w:rsid w:val="008F2211"/>
    <w:rsid w:val="00911202"/>
    <w:rsid w:val="009326E3"/>
    <w:rsid w:val="00961F04"/>
    <w:rsid w:val="00964A13"/>
    <w:rsid w:val="009E138D"/>
    <w:rsid w:val="00A0142F"/>
    <w:rsid w:val="00A14D3A"/>
    <w:rsid w:val="00A53158"/>
    <w:rsid w:val="00A64D59"/>
    <w:rsid w:val="00A67235"/>
    <w:rsid w:val="00BE7410"/>
    <w:rsid w:val="00C05B64"/>
    <w:rsid w:val="00C4683E"/>
    <w:rsid w:val="00C87758"/>
    <w:rsid w:val="00CE14BA"/>
    <w:rsid w:val="00D25299"/>
    <w:rsid w:val="00D54F5F"/>
    <w:rsid w:val="00D806A2"/>
    <w:rsid w:val="00DB7F46"/>
    <w:rsid w:val="00DD05A8"/>
    <w:rsid w:val="00E24886"/>
    <w:rsid w:val="00E55BBF"/>
    <w:rsid w:val="00E70261"/>
    <w:rsid w:val="00EC0F0F"/>
    <w:rsid w:val="00ED6BB4"/>
    <w:rsid w:val="00EE6952"/>
    <w:rsid w:val="00F01EB5"/>
    <w:rsid w:val="00F2150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58A1E8"/>
  <w15:docId w15:val="{EB7F1B43-D025-4A1C-B9BD-0170EEDD3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4B0"/>
    <w:pPr>
      <w:spacing w:line="288" w:lineRule="auto"/>
      <w:jc w:val="both"/>
    </w:pPr>
    <w:rPr>
      <w:sz w:val="22"/>
      <w:szCs w:val="22"/>
      <w:lang w:val="en-GB" w:eastAsia="en-US"/>
    </w:rPr>
  </w:style>
  <w:style w:type="paragraph" w:styleId="Heading1">
    <w:name w:val="heading 1"/>
    <w:basedOn w:val="Normal"/>
    <w:next w:val="Normal"/>
    <w:link w:val="Heading1Char"/>
    <w:qFormat/>
    <w:rsid w:val="00A67235"/>
    <w:pPr>
      <w:numPr>
        <w:numId w:val="1"/>
      </w:numPr>
      <w:ind w:left="567" w:hanging="567"/>
      <w:outlineLvl w:val="0"/>
    </w:pPr>
    <w:rPr>
      <w:kern w:val="28"/>
    </w:rPr>
  </w:style>
  <w:style w:type="paragraph" w:styleId="Heading2">
    <w:name w:val="heading 2"/>
    <w:basedOn w:val="Normal"/>
    <w:next w:val="Normal"/>
    <w:link w:val="Heading2Char"/>
    <w:qFormat/>
    <w:rsid w:val="00A67235"/>
    <w:pPr>
      <w:numPr>
        <w:ilvl w:val="1"/>
        <w:numId w:val="1"/>
      </w:numPr>
      <w:ind w:left="567" w:hanging="567"/>
      <w:outlineLvl w:val="1"/>
    </w:pPr>
  </w:style>
  <w:style w:type="paragraph" w:styleId="Heading3">
    <w:name w:val="heading 3"/>
    <w:basedOn w:val="Normal"/>
    <w:next w:val="Normal"/>
    <w:link w:val="Heading3Char"/>
    <w:qFormat/>
    <w:rsid w:val="00A67235"/>
    <w:pPr>
      <w:numPr>
        <w:ilvl w:val="2"/>
        <w:numId w:val="1"/>
      </w:numPr>
      <w:ind w:left="567" w:hanging="567"/>
      <w:outlineLvl w:val="2"/>
    </w:pPr>
  </w:style>
  <w:style w:type="paragraph" w:styleId="Heading4">
    <w:name w:val="heading 4"/>
    <w:basedOn w:val="Normal"/>
    <w:next w:val="Normal"/>
    <w:link w:val="Heading4Char"/>
    <w:qFormat/>
    <w:rsid w:val="00A67235"/>
    <w:pPr>
      <w:numPr>
        <w:ilvl w:val="3"/>
        <w:numId w:val="1"/>
      </w:numPr>
      <w:ind w:left="567" w:hanging="567"/>
      <w:outlineLvl w:val="3"/>
    </w:pPr>
  </w:style>
  <w:style w:type="paragraph" w:styleId="Heading5">
    <w:name w:val="heading 5"/>
    <w:basedOn w:val="Normal"/>
    <w:next w:val="Normal"/>
    <w:link w:val="Heading5Char"/>
    <w:qFormat/>
    <w:rsid w:val="00A67235"/>
    <w:pPr>
      <w:numPr>
        <w:ilvl w:val="4"/>
        <w:numId w:val="1"/>
      </w:numPr>
      <w:ind w:left="567" w:hanging="567"/>
      <w:outlineLvl w:val="4"/>
    </w:pPr>
  </w:style>
  <w:style w:type="paragraph" w:styleId="Heading6">
    <w:name w:val="heading 6"/>
    <w:basedOn w:val="Normal"/>
    <w:next w:val="Normal"/>
    <w:link w:val="Heading6Char"/>
    <w:qFormat/>
    <w:rsid w:val="00A67235"/>
    <w:pPr>
      <w:numPr>
        <w:ilvl w:val="5"/>
        <w:numId w:val="1"/>
      </w:numPr>
      <w:ind w:left="567" w:hanging="567"/>
      <w:outlineLvl w:val="5"/>
    </w:pPr>
  </w:style>
  <w:style w:type="paragraph" w:styleId="Heading7">
    <w:name w:val="heading 7"/>
    <w:basedOn w:val="Normal"/>
    <w:next w:val="Normal"/>
    <w:link w:val="Heading7Char"/>
    <w:qFormat/>
    <w:rsid w:val="00A67235"/>
    <w:pPr>
      <w:numPr>
        <w:ilvl w:val="6"/>
        <w:numId w:val="1"/>
      </w:numPr>
      <w:ind w:left="567" w:hanging="567"/>
      <w:outlineLvl w:val="6"/>
    </w:pPr>
  </w:style>
  <w:style w:type="paragraph" w:styleId="Heading8">
    <w:name w:val="heading 8"/>
    <w:basedOn w:val="Normal"/>
    <w:next w:val="Normal"/>
    <w:link w:val="Heading8Char"/>
    <w:qFormat/>
    <w:rsid w:val="00A67235"/>
    <w:pPr>
      <w:numPr>
        <w:ilvl w:val="7"/>
        <w:numId w:val="1"/>
      </w:numPr>
      <w:ind w:left="567" w:hanging="567"/>
      <w:outlineLvl w:val="7"/>
    </w:pPr>
  </w:style>
  <w:style w:type="paragraph" w:styleId="Heading9">
    <w:name w:val="heading 9"/>
    <w:basedOn w:val="Normal"/>
    <w:next w:val="Normal"/>
    <w:link w:val="Heading9Char"/>
    <w:qFormat/>
    <w:rsid w:val="00A67235"/>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047C"/>
    <w:rPr>
      <w:kern w:val="28"/>
      <w:sz w:val="22"/>
      <w:szCs w:val="22"/>
      <w:lang w:val="en-US" w:eastAsia="en-US"/>
    </w:rPr>
  </w:style>
  <w:style w:type="character" w:customStyle="1" w:styleId="Heading2Char">
    <w:name w:val="Heading 2 Char"/>
    <w:basedOn w:val="DefaultParagraphFont"/>
    <w:link w:val="Heading2"/>
    <w:rsid w:val="00B3047C"/>
    <w:rPr>
      <w:sz w:val="22"/>
      <w:szCs w:val="22"/>
      <w:lang w:val="en-US" w:eastAsia="en-US"/>
    </w:rPr>
  </w:style>
  <w:style w:type="character" w:customStyle="1" w:styleId="Heading3Char">
    <w:name w:val="Heading 3 Char"/>
    <w:basedOn w:val="DefaultParagraphFont"/>
    <w:link w:val="Heading3"/>
    <w:rsid w:val="00B3047C"/>
    <w:rPr>
      <w:sz w:val="22"/>
      <w:szCs w:val="22"/>
      <w:lang w:val="en-US" w:eastAsia="en-US"/>
    </w:rPr>
  </w:style>
  <w:style w:type="character" w:customStyle="1" w:styleId="Heading4Char">
    <w:name w:val="Heading 4 Char"/>
    <w:basedOn w:val="DefaultParagraphFont"/>
    <w:link w:val="Heading4"/>
    <w:rsid w:val="00B3047C"/>
    <w:rPr>
      <w:sz w:val="22"/>
      <w:szCs w:val="22"/>
      <w:lang w:val="en-US" w:eastAsia="en-US"/>
    </w:rPr>
  </w:style>
  <w:style w:type="character" w:customStyle="1" w:styleId="Heading5Char">
    <w:name w:val="Heading 5 Char"/>
    <w:basedOn w:val="DefaultParagraphFont"/>
    <w:link w:val="Heading5"/>
    <w:rsid w:val="00B3047C"/>
    <w:rPr>
      <w:sz w:val="22"/>
      <w:szCs w:val="22"/>
      <w:lang w:val="en-US" w:eastAsia="en-US"/>
    </w:rPr>
  </w:style>
  <w:style w:type="character" w:customStyle="1" w:styleId="Heading6Char">
    <w:name w:val="Heading 6 Char"/>
    <w:basedOn w:val="DefaultParagraphFont"/>
    <w:link w:val="Heading6"/>
    <w:rsid w:val="00B3047C"/>
    <w:rPr>
      <w:sz w:val="22"/>
      <w:szCs w:val="22"/>
      <w:lang w:val="en-US" w:eastAsia="en-US"/>
    </w:rPr>
  </w:style>
  <w:style w:type="character" w:customStyle="1" w:styleId="Heading7Char">
    <w:name w:val="Heading 7 Char"/>
    <w:basedOn w:val="DefaultParagraphFont"/>
    <w:link w:val="Heading7"/>
    <w:rsid w:val="00B3047C"/>
    <w:rPr>
      <w:sz w:val="22"/>
      <w:szCs w:val="22"/>
      <w:lang w:val="en-US" w:eastAsia="en-US"/>
    </w:rPr>
  </w:style>
  <w:style w:type="character" w:customStyle="1" w:styleId="Heading8Char">
    <w:name w:val="Heading 8 Char"/>
    <w:basedOn w:val="DefaultParagraphFont"/>
    <w:link w:val="Heading8"/>
    <w:rsid w:val="00B3047C"/>
    <w:rPr>
      <w:sz w:val="22"/>
      <w:szCs w:val="22"/>
      <w:lang w:val="en-US" w:eastAsia="en-US"/>
    </w:rPr>
  </w:style>
  <w:style w:type="character" w:customStyle="1" w:styleId="Heading9Char">
    <w:name w:val="Heading 9 Char"/>
    <w:basedOn w:val="DefaultParagraphFont"/>
    <w:link w:val="Heading9"/>
    <w:rsid w:val="00B3047C"/>
    <w:rPr>
      <w:sz w:val="22"/>
      <w:szCs w:val="22"/>
      <w:lang w:val="en-US" w:eastAsia="en-US"/>
    </w:rPr>
  </w:style>
  <w:style w:type="paragraph" w:styleId="Footer">
    <w:name w:val="footer"/>
    <w:basedOn w:val="Normal"/>
    <w:link w:val="FooterChar"/>
    <w:qFormat/>
    <w:rsid w:val="00A67235"/>
  </w:style>
  <w:style w:type="character" w:customStyle="1" w:styleId="FooterChar">
    <w:name w:val="Footer Char"/>
    <w:basedOn w:val="DefaultParagraphFont"/>
    <w:link w:val="Footer"/>
    <w:rsid w:val="00B3047C"/>
    <w:rPr>
      <w:sz w:val="22"/>
      <w:szCs w:val="22"/>
      <w:lang w:val="en-US" w:eastAsia="en-US"/>
    </w:rPr>
  </w:style>
  <w:style w:type="paragraph" w:styleId="FootnoteText">
    <w:name w:val="footnote text"/>
    <w:basedOn w:val="Normal"/>
    <w:link w:val="FootnoteTextChar"/>
    <w:qFormat/>
    <w:rsid w:val="00A67235"/>
    <w:pPr>
      <w:keepLines/>
      <w:spacing w:after="60" w:line="240" w:lineRule="auto"/>
      <w:ind w:left="567" w:hanging="567"/>
    </w:pPr>
    <w:rPr>
      <w:sz w:val="16"/>
    </w:rPr>
  </w:style>
  <w:style w:type="character" w:customStyle="1" w:styleId="FootnoteTextChar">
    <w:name w:val="Footnote Text Char"/>
    <w:basedOn w:val="DefaultParagraphFont"/>
    <w:link w:val="FootnoteText"/>
    <w:rsid w:val="00B3047C"/>
    <w:rPr>
      <w:sz w:val="16"/>
      <w:szCs w:val="22"/>
      <w:lang w:val="en-US" w:eastAsia="en-US"/>
    </w:rPr>
  </w:style>
  <w:style w:type="paragraph" w:styleId="Header">
    <w:name w:val="header"/>
    <w:basedOn w:val="Normal"/>
    <w:link w:val="HeaderChar"/>
    <w:qFormat/>
    <w:rsid w:val="00A67235"/>
  </w:style>
  <w:style w:type="character" w:customStyle="1" w:styleId="HeaderChar">
    <w:name w:val="Header Char"/>
    <w:basedOn w:val="DefaultParagraphFont"/>
    <w:link w:val="Header"/>
    <w:rsid w:val="00B3047C"/>
    <w:rPr>
      <w:sz w:val="22"/>
      <w:szCs w:val="22"/>
      <w:lang w:val="en-US" w:eastAsia="en-US"/>
    </w:rPr>
  </w:style>
  <w:style w:type="paragraph" w:customStyle="1" w:styleId="quotes">
    <w:name w:val="quotes"/>
    <w:basedOn w:val="Normal"/>
    <w:next w:val="Normal"/>
    <w:rsid w:val="00A67235"/>
    <w:pPr>
      <w:ind w:left="720"/>
    </w:pPr>
    <w:rPr>
      <w:i/>
    </w:rPr>
  </w:style>
  <w:style w:type="character" w:styleId="Hyperlink">
    <w:name w:val="Hyperlink"/>
    <w:basedOn w:val="DefaultParagraphFont"/>
    <w:uiPriority w:val="99"/>
    <w:rPr>
      <w:rFonts w:cs="Times New Roman"/>
      <w:color w:val="0000FF"/>
      <w:u w:val="single"/>
    </w:rPr>
  </w:style>
  <w:style w:type="character" w:styleId="FootnoteReference">
    <w:name w:val="footnote reference"/>
    <w:basedOn w:val="DefaultParagraphFont"/>
    <w:unhideWhenUsed/>
    <w:qFormat/>
    <w:rsid w:val="00A67235"/>
    <w:rPr>
      <w:sz w:val="24"/>
      <w:vertAlign w:val="superscript"/>
    </w:rPr>
  </w:style>
  <w:style w:type="character" w:styleId="FollowedHyperlink">
    <w:name w:val="FollowedHyperlink"/>
    <w:basedOn w:val="DefaultParagraphFont"/>
    <w:uiPriority w:val="99"/>
    <w:rPr>
      <w:rFonts w:cs="Times New Roman"/>
      <w:color w:val="800080"/>
      <w:u w:val="single"/>
    </w:rPr>
  </w:style>
  <w:style w:type="paragraph" w:customStyle="1" w:styleId="LOGO">
    <w:name w:val="LOGO"/>
    <w:basedOn w:val="Normal"/>
    <w:pPr>
      <w:jc w:val="center"/>
    </w:pPr>
    <w:rPr>
      <w:rFonts w:ascii="Arial" w:hAnsi="Arial"/>
      <w:b/>
      <w:i/>
      <w:sz w:val="20"/>
    </w:rPr>
  </w:style>
  <w:style w:type="paragraph" w:styleId="BalloonText">
    <w:name w:val="Balloon Text"/>
    <w:basedOn w:val="Normal"/>
    <w:link w:val="BalloonTextChar"/>
    <w:rsid w:val="00A6723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67235"/>
    <w:rPr>
      <w:rFonts w:ascii="Tahoma" w:hAnsi="Tahoma" w:cs="Tahoma"/>
      <w:sz w:val="16"/>
      <w:szCs w:val="16"/>
      <w:lang w:val="en-US" w:eastAsia="en-US"/>
    </w:rPr>
  </w:style>
  <w:style w:type="table" w:styleId="TableGrid">
    <w:name w:val="Table Grid"/>
    <w:basedOn w:val="TableNormal"/>
    <w:rsid w:val="00382D92"/>
    <w:pPr>
      <w:jc w:val="both"/>
    </w:pPr>
    <w:rPr>
      <w:sz w:val="22"/>
      <w:szCs w:val="22"/>
      <w:lang w:val="en-US"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382D92"/>
    <w:pPr>
      <w:spacing w:line="288" w:lineRule="auto"/>
      <w:jc w:val="both"/>
    </w:pPr>
    <w:rPr>
      <w:lang w:val="en-GB" w:eastAsia="en-GB"/>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openxmlformats.org/officeDocument/2006/relationships/customXml" Target="../customXml/item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3.xml"/><Relationship Id="rId16"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customXml" Target="../customXml/item1.xml"/><Relationship Id="rId10" Type="http://schemas.openxmlformats.org/officeDocument/2006/relationships/endnotes" Target="endnotes.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C3F19A95DDE2574C950D6652ED703BFE" ma:contentTypeVersion="4" ma:contentTypeDescription="Defines the documents for Document Manager V2" ma:contentTypeScope="" ma:versionID="aa4a52a6a5593ecd1041875929ead8f4">
  <xsd:schema xmlns:xsd="http://www.w3.org/2001/XMLSchema" xmlns:xs="http://www.w3.org/2001/XMLSchema" xmlns:p="http://schemas.microsoft.com/office/2006/metadata/properties" xmlns:ns2="59ace41b-6786-4ce3-be71-52c27066c6ef" xmlns:ns3="http://schemas.microsoft.com/sharepoint/v3/fields" xmlns:ns4="14d11ec3-fd82-4994-a217-1a91de9b2d2a" targetNamespace="http://schemas.microsoft.com/office/2006/metadata/properties" ma:root="true" ma:fieldsID="0d1ccbad9410dd1ff387d7952c9a9f44" ns2:_="" ns3:_="" ns4:_="">
    <xsd:import namespace="59ace41b-6786-4ce3-be71-52c27066c6ef"/>
    <xsd:import namespace="http://schemas.microsoft.com/sharepoint/v3/fields"/>
    <xsd:import namespace="14d11ec3-fd82-4994-a217-1a91de9b2d2a"/>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ce41b-6786-4ce3-be71-52c27066c6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2fb5ba9-5e53-4066-9f9c-cd35b339bd62}" ma:internalName="TaxCatchAll" ma:showField="CatchAllData"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2fb5ba9-5e53-4066-9f9c-cd35b339bd62}" ma:internalName="TaxCatchAllLabel" ma:readOnly="true" ma:showField="CatchAllDataLabel"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d11ec3-fd82-4994-a217-1a91de9b2d2a"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59ace41b-6786-4ce3-be71-52c27066c6ef">F7M6YNZUATRX-917472228-12696</_dlc_DocId>
    <_dlc_DocIdUrl xmlns="59ace41b-6786-4ce3-be71-52c27066c6ef">
      <Url>http://dm/eesc/2024/_layouts/15/DocIdRedir.aspx?ID=F7M6YNZUATRX-917472228-12696</Url>
      <Description>F7M6YNZUATRX-917472228-12696</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CR</TermName>
          <TermId xmlns="http://schemas.microsoft.com/office/infopath/2007/PartnerControls">3d8a0a7b-557a-49c4-997f-22056dbd9ff4</TermId>
        </TermInfo>
      </Terms>
    </DocumentType_0>
    <Procedure xmlns="59ace41b-6786-4ce3-be71-52c27066c6ef"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9ace41b-6786-4ce3-be71-52c27066c6ef">2024-11-07T12:00:00+00:00</ProductionDate>
    <FicheYear xmlns="59ace41b-6786-4ce3-be71-52c27066c6ef">2024</FicheYear>
    <DocumentNumber xmlns="14d11ec3-fd82-4994-a217-1a91de9b2d2a">1141</DocumentNumber>
    <DossierNumber xmlns="59ace41b-6786-4ce3-be71-52c27066c6ef">802</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59ace41b-6786-4ce3-be71-52c27066c6ef" xsi:nil="true"/>
    <TaxCatchAll xmlns="59ace41b-6786-4ce3-be71-52c27066c6ef">
      <Value>49</Value>
      <Value>8</Value>
      <Value>6</Value>
      <Value>5</Value>
      <Value>38</Value>
      <Value>71</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Rapporteur xmlns="59ace41b-6786-4ce3-be71-52c27066c6ef">BARRERA CHAMORRO</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59ace41b-6786-4ce3-be71-52c27066c6ef">2024</DocumentYear>
    <FicheNumber xmlns="59ace41b-6786-4ce3-be71-52c27066c6ef">11086</FicheNumber>
    <OriginalSender xmlns="59ace41b-6786-4ce3-be71-52c27066c6ef">
      <UserInfo>
        <DisplayName>TDriveSVCUserProd</DisplayName>
        <AccountId>1388</AccountId>
        <AccountType/>
      </UserInfo>
    </OriginalSender>
    <DocumentPart xmlns="59ace41b-6786-4ce3-be71-52c27066c6ef">0</DocumentPart>
    <AdoptionDate xmlns="59ace41b-6786-4ce3-be71-52c27066c6ef">2024-10-23T12:00:00+00:00</AdoptionDate>
    <RequestingService xmlns="59ace41b-6786-4ce3-be71-52c27066c6ef">Emploi, affaires sociales, citoyenneté</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REF</TermName>
          <TermId xmlns="http://schemas.microsoft.com/office/infopath/2007/PartnerControls">722611fd-7eaf-44e3-8780-a3226646f5f0</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14d11ec3-fd82-4994-a217-1a91de9b2d2a"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SOC</TermName>
          <TermId xmlns="http://schemas.microsoft.com/office/infopath/2007/PartnerControls">13795804-ecbd-4ce5-9693-9b8be1981b20</TermId>
        </TermInfo>
      </Terms>
    </DossierName_0>
    <DocumentVersion xmlns="59ace41b-6786-4ce3-be71-52c27066c6ef">0</DocumentVersion>
  </documentManagement>
</p:properties>
</file>

<file path=customXml/itemProps1.xml><?xml version="1.0" encoding="utf-8"?>
<ds:datastoreItem xmlns:ds="http://schemas.openxmlformats.org/officeDocument/2006/customXml" ds:itemID="{90A445FD-7C69-4C89-B411-4098E195831D}"/>
</file>

<file path=customXml/itemProps2.xml><?xml version="1.0" encoding="utf-8"?>
<ds:datastoreItem xmlns:ds="http://schemas.openxmlformats.org/officeDocument/2006/customXml" ds:itemID="{92464F25-714F-4A1E-8F00-A88AD17A6C68}"/>
</file>

<file path=customXml/itemProps3.xml><?xml version="1.0" encoding="utf-8"?>
<ds:datastoreItem xmlns:ds="http://schemas.openxmlformats.org/officeDocument/2006/customXml" ds:itemID="{5754BCBC-DC10-4388-AE20-C7CE7112ACEC}"/>
</file>

<file path=customXml/itemProps4.xml><?xml version="1.0" encoding="utf-8"?>
<ds:datastoreItem xmlns:ds="http://schemas.openxmlformats.org/officeDocument/2006/customXml" ds:itemID="{26894250-D482-452D-86DB-FC241F8684C2}"/>
</file>

<file path=docProps/app.xml><?xml version="1.0" encoding="utf-8"?>
<Properties xmlns="http://schemas.openxmlformats.org/officeDocument/2006/extended-properties" xmlns:vt="http://schemas.openxmlformats.org/officeDocument/2006/docPropsVTypes">
  <Template>Normal</Template>
  <TotalTime>0</TotalTime>
  <Pages>2</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CR - EESC revised template</vt:lpstr>
    </vt:vector>
  </TitlesOfParts>
  <Company>CESE-CdR</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Imbalances in social protection</dc:title>
  <dc:subject>Record of proceedings</dc:subject>
  <dc:creator>Hilary Morris</dc:creator>
  <cp:keywords>EESC-2024-01141-00-00-CR-TRA-EN</cp:keywords>
  <dc:description>Rapporteur: - BARRERA CHAMORRO Original language: - EN Date of document: - 07/11/2024 Date of meeting: -  External documents: -  Administrator responsible: -  BEDNAROWICZ BARTŁOMIEJ</dc:description>
  <cp:lastModifiedBy>TDriveSVCUserProd</cp:lastModifiedBy>
  <cp:revision>18</cp:revision>
  <cp:lastPrinted>2004-02-16T15:16:00Z</cp:lastPrinted>
  <dcterms:created xsi:type="dcterms:W3CDTF">2024-10-29T13:16:00Z</dcterms:created>
  <dcterms:modified xsi:type="dcterms:W3CDTF">2024-11-07T13:49:00Z</dcterms:modified>
  <cp:category>SOC/802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17/05/2022</vt:lpwstr>
  </property>
  <property fmtid="{D5CDD505-2E9C-101B-9397-08002B2CF9AE}" pid="4" name="Pref_Time">
    <vt:lpwstr>11:03:32</vt:lpwstr>
  </property>
  <property fmtid="{D5CDD505-2E9C-101B-9397-08002B2CF9AE}" pid="5" name="Pref_User">
    <vt:lpwstr>enied</vt:lpwstr>
  </property>
  <property fmtid="{D5CDD505-2E9C-101B-9397-08002B2CF9AE}" pid="6" name="Pref_FileName">
    <vt:lpwstr>COR-EESC-2022-02584-00-00-ADMIN-ORI.docx</vt:lpwstr>
  </property>
  <property fmtid="{D5CDD505-2E9C-101B-9397-08002B2CF9AE}" pid="7" name="ContentTypeId">
    <vt:lpwstr>0x010100EA97B91038054C99906057A708A1480A00C3F19A95DDE2574C950D6652ED703BFE</vt:lpwstr>
  </property>
  <property fmtid="{D5CDD505-2E9C-101B-9397-08002B2CF9AE}" pid="8" name="_dlc_DocIdItemGuid">
    <vt:lpwstr>2dc68aac-a809-484a-955a-7b5cbdbbc4d1</vt:lpwstr>
  </property>
  <property fmtid="{D5CDD505-2E9C-101B-9397-08002B2CF9AE}" pid="9" name="AvailableTranslations">
    <vt:lpwstr>5;#EN|f2175f21-25d7-44a3-96da-d6a61b075e1b</vt:lpwstr>
  </property>
  <property fmtid="{D5CDD505-2E9C-101B-9397-08002B2CF9AE}" pid="10" name="DocumentType_0">
    <vt:lpwstr>CR|3d8a0a7b-557a-49c4-997f-22056dbd9ff4</vt:lpwstr>
  </property>
  <property fmtid="{D5CDD505-2E9C-101B-9397-08002B2CF9AE}" pid="11" name="DossierName_0">
    <vt:lpwstr>SOC|13795804-ecbd-4ce5-9693-9b8be1981b20</vt:lpwstr>
  </property>
  <property fmtid="{D5CDD505-2E9C-101B-9397-08002B2CF9AE}" pid="12" name="DocumentSource_0">
    <vt:lpwstr>EESC|422833ec-8d7e-4e65-8e4e-8bed07ffb729</vt:lpwstr>
  </property>
  <property fmtid="{D5CDD505-2E9C-101B-9397-08002B2CF9AE}" pid="13" name="DocumentNumber">
    <vt:i4>1141</vt:i4>
  </property>
  <property fmtid="{D5CDD505-2E9C-101B-9397-08002B2CF9AE}" pid="14" name="FicheYear">
    <vt:i4>2024</vt:i4>
  </property>
  <property fmtid="{D5CDD505-2E9C-101B-9397-08002B2CF9AE}" pid="15" name="DocumentVersion">
    <vt:i4>0</vt:i4>
  </property>
  <property fmtid="{D5CDD505-2E9C-101B-9397-08002B2CF9AE}" pid="16" name="DossierNumber">
    <vt:i4>802</vt:i4>
  </property>
  <property fmtid="{D5CDD505-2E9C-101B-9397-08002B2CF9AE}" pid="17" name="DocumentStatus">
    <vt:lpwstr>38;#REF|722611fd-7eaf-44e3-8780-a3226646f5f0</vt:lpwstr>
  </property>
  <property fmtid="{D5CDD505-2E9C-101B-9397-08002B2CF9AE}" pid="18" name="DossierName">
    <vt:lpwstr>49;#SOC|13795804-ecbd-4ce5-9693-9b8be1981b20</vt:lpwstr>
  </property>
  <property fmtid="{D5CDD505-2E9C-101B-9397-08002B2CF9AE}" pid="19" name="RequestingService">
    <vt:lpwstr>Emploi, affaires sociales, citoyenneté</vt:lpwstr>
  </property>
  <property fmtid="{D5CDD505-2E9C-101B-9397-08002B2CF9AE}" pid="20" name="Confidentiality">
    <vt:lpwstr>6;#Unrestricted|826e22d7-d029-4ec0-a450-0c28ff673572</vt:lpwstr>
  </property>
  <property fmtid="{D5CDD505-2E9C-101B-9397-08002B2CF9AE}" pid="21" name="MeetingName_0">
    <vt:lpwstr/>
  </property>
  <property fmtid="{D5CDD505-2E9C-101B-9397-08002B2CF9AE}" pid="22" name="Confidentiality_0">
    <vt:lpwstr>Unrestricted|826e22d7-d029-4ec0-a450-0c28ff673572</vt:lpwstr>
  </property>
  <property fmtid="{D5CDD505-2E9C-101B-9397-08002B2CF9AE}" pid="23" name="OriginalLanguage">
    <vt:lpwstr>5;#EN|f2175f21-25d7-44a3-96da-d6a61b075e1b</vt:lpwstr>
  </property>
  <property fmtid="{D5CDD505-2E9C-101B-9397-08002B2CF9AE}" pid="24" name="MeetingName">
    <vt:lpwstr/>
  </property>
  <property fmtid="{D5CDD505-2E9C-101B-9397-08002B2CF9AE}" pid="26" name="AvailableTranslations_0">
    <vt:lpwstr/>
  </property>
  <property fmtid="{D5CDD505-2E9C-101B-9397-08002B2CF9AE}" pid="27" name="DocumentStatus_0">
    <vt:lpwstr>REF|722611fd-7eaf-44e3-8780-a3226646f5f0</vt:lpwstr>
  </property>
  <property fmtid="{D5CDD505-2E9C-101B-9397-08002B2CF9AE}" pid="28" name="OriginalLanguage_0">
    <vt:lpwstr>EN|f2175f21-25d7-44a3-96da-d6a61b075e1b</vt:lpwstr>
  </property>
  <property fmtid="{D5CDD505-2E9C-101B-9397-08002B2CF9AE}" pid="29" name="TaxCatchAll">
    <vt:lpwstr>49;#SOC|13795804-ecbd-4ce5-9693-9b8be1981b20;#8;#Final|ea5e6674-7b27-4bac-b091-73adbb394efe;#6;#Unrestricted|826e22d7-d029-4ec0-a450-0c28ff673572;#5;#EN|f2175f21-25d7-44a3-96da-d6a61b075e1b;#38;#REF|722611fd-7eaf-44e3-8780-a3226646f5f0;#71;#CR|3d8a0a7b-557a-49c4-997f-22056dbd9ff4;#1;#EESC|422833ec-8d7e-4e65-8e4e-8bed07ffb729</vt:lpwstr>
  </property>
  <property fmtid="{D5CDD505-2E9C-101B-9397-08002B2CF9AE}" pid="30" name="Rapporteur">
    <vt:lpwstr>BARRERA CHAMORRO</vt:lpwstr>
  </property>
  <property fmtid="{D5CDD505-2E9C-101B-9397-08002B2CF9AE}" pid="31" name="VersionStatus_0">
    <vt:lpwstr>Final|ea5e6674-7b27-4bac-b091-73adbb394efe</vt:lpwstr>
  </property>
  <property fmtid="{D5CDD505-2E9C-101B-9397-08002B2CF9AE}" pid="32" name="VersionStatus">
    <vt:lpwstr>8;#Final|ea5e6674-7b27-4bac-b091-73adbb394efe</vt:lpwstr>
  </property>
  <property fmtid="{D5CDD505-2E9C-101B-9397-08002B2CF9AE}" pid="33" name="DocumentYear">
    <vt:i4>2024</vt:i4>
  </property>
  <property fmtid="{D5CDD505-2E9C-101B-9397-08002B2CF9AE}" pid="34" name="FicheNumber">
    <vt:i4>11086</vt:i4>
  </property>
  <property fmtid="{D5CDD505-2E9C-101B-9397-08002B2CF9AE}" pid="35" name="DocumentPart">
    <vt:i4>0</vt:i4>
  </property>
  <property fmtid="{D5CDD505-2E9C-101B-9397-08002B2CF9AE}" pid="36" name="DocumentSource">
    <vt:lpwstr>1;#EESC|422833ec-8d7e-4e65-8e4e-8bed07ffb729</vt:lpwstr>
  </property>
  <property fmtid="{D5CDD505-2E9C-101B-9397-08002B2CF9AE}" pid="37" name="AdoptionDate">
    <vt:filetime>2024-10-23T12:00:00Z</vt:filetime>
  </property>
  <property fmtid="{D5CDD505-2E9C-101B-9397-08002B2CF9AE}" pid="38" name="DocumentType">
    <vt:lpwstr>71;#CR|3d8a0a7b-557a-49c4-997f-22056dbd9ff4</vt:lpwstr>
  </property>
  <property fmtid="{D5CDD505-2E9C-101B-9397-08002B2CF9AE}" pid="39" name="DocumentLanguage">
    <vt:lpwstr>5;#EN|f2175f21-25d7-44a3-96da-d6a61b075e1b</vt:lpwstr>
  </property>
  <property fmtid="{D5CDD505-2E9C-101B-9397-08002B2CF9AE}" pid="40" name="_docset_NoMedatataSyncRequired">
    <vt:lpwstr>False</vt:lpwstr>
  </property>
</Properties>
</file>