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9A3190" w:rsidRPr="001420F5" w14:paraId="6476BBA4" w14:textId="77777777">
        <w:trPr>
          <w:jc w:val="center"/>
        </w:trPr>
        <w:tc>
          <w:tcPr>
            <w:tcW w:w="5000" w:type="pct"/>
            <w:vAlign w:val="center"/>
          </w:tcPr>
          <w:p w14:paraId="476E105E" w14:textId="77777777" w:rsidR="00901B76" w:rsidRPr="001420F5" w:rsidRDefault="00901B76" w:rsidP="0095280D">
            <w:pPr>
              <w:jc w:val="center"/>
              <w:rPr>
                <w:b/>
                <w:sz w:val="72"/>
                <w:szCs w:val="72"/>
              </w:rPr>
            </w:pPr>
            <w:r w:rsidRPr="001420F5">
              <w:rPr>
                <w:b/>
                <w:sz w:val="72"/>
              </w:rPr>
              <w:t>UZNESENIE</w:t>
            </w:r>
          </w:p>
        </w:tc>
      </w:tr>
      <w:tr w:rsidR="009A3190" w:rsidRPr="001420F5" w14:paraId="159E15DD" w14:textId="77777777">
        <w:trPr>
          <w:trHeight w:val="567"/>
          <w:jc w:val="center"/>
        </w:trPr>
        <w:tc>
          <w:tcPr>
            <w:tcW w:w="5000" w:type="pct"/>
            <w:vAlign w:val="center"/>
          </w:tcPr>
          <w:p w14:paraId="3A096615" w14:textId="7B21A1F3" w:rsidR="00901B76" w:rsidRPr="001420F5" w:rsidRDefault="00901B76" w:rsidP="0095280D">
            <w:pPr>
              <w:jc w:val="center"/>
              <w:rPr>
                <w:sz w:val="24"/>
                <w:szCs w:val="24"/>
              </w:rPr>
            </w:pPr>
            <w:r w:rsidRPr="001420F5">
              <w:rPr>
                <w:sz w:val="24"/>
              </w:rPr>
              <w:t>Európsky hospodársky</w:t>
            </w:r>
            <w:r w:rsidR="001420F5">
              <w:rPr>
                <w:sz w:val="24"/>
              </w:rPr>
              <w:t xml:space="preserve"> a </w:t>
            </w:r>
            <w:r w:rsidRPr="001420F5">
              <w:rPr>
                <w:sz w:val="24"/>
              </w:rPr>
              <w:t>sociálny výbor</w:t>
            </w:r>
          </w:p>
        </w:tc>
      </w:tr>
      <w:tr w:rsidR="009A3190" w:rsidRPr="001420F5" w14:paraId="681455BA" w14:textId="77777777">
        <w:trPr>
          <w:jc w:val="center"/>
        </w:trPr>
        <w:tc>
          <w:tcPr>
            <w:tcW w:w="5000" w:type="pct"/>
            <w:vAlign w:val="center"/>
          </w:tcPr>
          <w:p w14:paraId="6CB977C7" w14:textId="77777777" w:rsidR="005127DA" w:rsidRPr="001420F5" w:rsidRDefault="005127DA" w:rsidP="005127DA">
            <w:pPr>
              <w:jc w:val="center"/>
              <w:rPr>
                <w:b/>
                <w:sz w:val="44"/>
                <w:szCs w:val="44"/>
              </w:rPr>
            </w:pPr>
            <w:r w:rsidRPr="001420F5">
              <w:rPr>
                <w:b/>
                <w:sz w:val="44"/>
              </w:rPr>
              <w:t>Na nikoho by sa nemalo zabúdať.</w:t>
            </w:r>
          </w:p>
          <w:p w14:paraId="22350BD9" w14:textId="5367EEC4" w:rsidR="00901B76" w:rsidRPr="001420F5" w:rsidRDefault="005127DA" w:rsidP="005127DA">
            <w:pPr>
              <w:jc w:val="center"/>
              <w:rPr>
                <w:b/>
                <w:sz w:val="44"/>
                <w:szCs w:val="44"/>
              </w:rPr>
            </w:pPr>
            <w:r w:rsidRPr="001420F5">
              <w:rPr>
                <w:b/>
                <w:sz w:val="44"/>
              </w:rPr>
              <w:t>Za inkluzívnu</w:t>
            </w:r>
            <w:r w:rsidR="001420F5">
              <w:rPr>
                <w:b/>
                <w:sz w:val="44"/>
              </w:rPr>
              <w:t xml:space="preserve"> a </w:t>
            </w:r>
            <w:r w:rsidRPr="001420F5">
              <w:rPr>
                <w:b/>
                <w:sz w:val="44"/>
              </w:rPr>
              <w:t>participatívnu politiku súdržnosti na podporu sociálnej, hospodárskej</w:t>
            </w:r>
            <w:r w:rsidR="001420F5">
              <w:rPr>
                <w:b/>
                <w:sz w:val="44"/>
              </w:rPr>
              <w:t xml:space="preserve"> a </w:t>
            </w:r>
            <w:r w:rsidRPr="001420F5">
              <w:rPr>
                <w:b/>
                <w:sz w:val="44"/>
              </w:rPr>
              <w:t>územnej súdržnosti</w:t>
            </w:r>
          </w:p>
        </w:tc>
      </w:tr>
      <w:tr w:rsidR="009A3190" w:rsidRPr="001420F5" w14:paraId="2D263C83" w14:textId="77777777">
        <w:trPr>
          <w:jc w:val="center"/>
        </w:trPr>
        <w:tc>
          <w:tcPr>
            <w:tcW w:w="5000" w:type="pct"/>
            <w:vAlign w:val="center"/>
          </w:tcPr>
          <w:p w14:paraId="6F29AEDD" w14:textId="77777777" w:rsidR="00901B76" w:rsidRPr="001420F5" w:rsidRDefault="00901B76" w:rsidP="0095280D">
            <w:pPr>
              <w:jc w:val="center"/>
              <w:rPr>
                <w:sz w:val="24"/>
                <w:szCs w:val="24"/>
              </w:rPr>
            </w:pPr>
          </w:p>
        </w:tc>
      </w:tr>
      <w:tr w:rsidR="009A3190" w:rsidRPr="001420F5" w14:paraId="378EAEE1" w14:textId="77777777">
        <w:trPr>
          <w:jc w:val="center"/>
        </w:trPr>
        <w:tc>
          <w:tcPr>
            <w:tcW w:w="5000" w:type="pct"/>
            <w:vAlign w:val="center"/>
          </w:tcPr>
          <w:p w14:paraId="2EEC3A8B" w14:textId="77777777" w:rsidR="00901B76" w:rsidRPr="001420F5" w:rsidRDefault="00901B76" w:rsidP="00952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position w:val="24"/>
                <w:sz w:val="24"/>
                <w:szCs w:val="24"/>
              </w:rPr>
            </w:pPr>
            <w:r w:rsidRPr="001420F5">
              <w:rPr>
                <w:sz w:val="24"/>
              </w:rPr>
              <w:t>_____________</w:t>
            </w:r>
          </w:p>
        </w:tc>
      </w:tr>
      <w:tr w:rsidR="009A3190" w:rsidRPr="001420F5" w14:paraId="28FCADE0" w14:textId="77777777">
        <w:trPr>
          <w:jc w:val="center"/>
        </w:trPr>
        <w:tc>
          <w:tcPr>
            <w:tcW w:w="5000" w:type="pct"/>
            <w:vAlign w:val="center"/>
          </w:tcPr>
          <w:p w14:paraId="77D7B30B" w14:textId="77777777" w:rsidR="00901B76" w:rsidRPr="001420F5" w:rsidRDefault="00901B76" w:rsidP="0095280D">
            <w:pPr>
              <w:jc w:val="center"/>
              <w:rPr>
                <w:sz w:val="24"/>
                <w:szCs w:val="24"/>
              </w:rPr>
            </w:pPr>
          </w:p>
        </w:tc>
      </w:tr>
      <w:tr w:rsidR="009A3190" w:rsidRPr="001420F5" w14:paraId="289DE9EF" w14:textId="77777777">
        <w:trPr>
          <w:jc w:val="center"/>
        </w:trPr>
        <w:tc>
          <w:tcPr>
            <w:tcW w:w="5000" w:type="pct"/>
            <w:vAlign w:val="center"/>
          </w:tcPr>
          <w:p w14:paraId="00A72E0A" w14:textId="77777777" w:rsidR="00901B76" w:rsidRPr="001420F5" w:rsidRDefault="00901B76" w:rsidP="0095280D">
            <w:pPr>
              <w:jc w:val="center"/>
              <w:rPr>
                <w:b/>
                <w:sz w:val="24"/>
                <w:szCs w:val="24"/>
              </w:rPr>
            </w:pPr>
            <w:r w:rsidRPr="001420F5">
              <w:rPr>
                <w:sz w:val="24"/>
              </w:rPr>
              <w:t xml:space="preserve">Spravodajca: </w:t>
            </w:r>
            <w:r w:rsidRPr="001420F5">
              <w:rPr>
                <w:b/>
                <w:bCs/>
                <w:sz w:val="24"/>
              </w:rPr>
              <w:t>Ioannis VARDAKASTANIS</w:t>
            </w:r>
          </w:p>
        </w:tc>
      </w:tr>
    </w:tbl>
    <w:p w14:paraId="4D24476C" w14:textId="77777777" w:rsidR="00574C9B" w:rsidRPr="001420F5" w:rsidRDefault="00574C9B" w:rsidP="00574C9B">
      <w:r w:rsidRPr="001420F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E0EEABC" wp14:editId="0D5006DE">
                <wp:simplePos x="0" y="0"/>
                <wp:positionH relativeFrom="rightMargin">
                  <wp:posOffset>-201930</wp:posOffset>
                </wp:positionH>
                <wp:positionV relativeFrom="page">
                  <wp:posOffset>9486900</wp:posOffset>
                </wp:positionV>
                <wp:extent cx="741600" cy="432000"/>
                <wp:effectExtent l="0" t="0" r="0" b="635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A2316" w14:textId="77777777" w:rsidR="00574C9B" w:rsidRDefault="00574C9B" w:rsidP="00574C9B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EEAB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5.9pt;margin-top:747pt;width:58.4pt;height:34pt;z-index:-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" o:allowincell="f" filled="f" stroked="f">
                <v:textbox>
                  <w:txbxContent>
                    <w:p w14:paraId="383A2316" w14:textId="77777777" w:rsidR="00574C9B" w:rsidRDefault="00574C9B" w:rsidP="00574C9B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3D4D829" w14:textId="77777777" w:rsidR="00574C9B" w:rsidRPr="001420F5" w:rsidRDefault="00574C9B" w:rsidP="00574C9B"/>
    <w:p w14:paraId="1775577E" w14:textId="77777777" w:rsidR="00574C9B" w:rsidRPr="001420F5" w:rsidRDefault="00574C9B" w:rsidP="00574C9B">
      <w:pPr>
        <w:sectPr w:rsidR="00574C9B" w:rsidRPr="001420F5" w:rsidSect="00C6634B">
          <w:headerReference w:type="even" r:id="rId11"/>
          <w:headerReference w:type="default" r:id="rId12"/>
          <w:headerReference w:type="first" r:id="rId13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9A3190" w:rsidRPr="001420F5" w14:paraId="5DE0C8B8" w14:textId="77777777">
        <w:tc>
          <w:tcPr>
            <w:tcW w:w="3085" w:type="dxa"/>
          </w:tcPr>
          <w:p w14:paraId="0BAA31E7" w14:textId="77777777" w:rsidR="00901B76" w:rsidRPr="001420F5" w:rsidRDefault="00901B76" w:rsidP="00901B76">
            <w:pPr>
              <w:autoSpaceDE w:val="0"/>
              <w:autoSpaceDN w:val="0"/>
              <w:jc w:val="left"/>
              <w:rPr>
                <w:szCs w:val="20"/>
              </w:rPr>
            </w:pPr>
            <w:r w:rsidRPr="001420F5">
              <w:lastRenderedPageBreak/>
              <w:t>Právny základ</w:t>
            </w:r>
          </w:p>
        </w:tc>
        <w:tc>
          <w:tcPr>
            <w:tcW w:w="6204" w:type="dxa"/>
            <w:vAlign w:val="bottom"/>
          </w:tcPr>
          <w:p w14:paraId="1B491614" w14:textId="62776ADB" w:rsidR="00901B76" w:rsidRPr="001420F5" w:rsidRDefault="001420F5" w:rsidP="00901B76">
            <w:pPr>
              <w:autoSpaceDE w:val="0"/>
              <w:autoSpaceDN w:val="0"/>
              <w:jc w:val="left"/>
            </w:pPr>
            <w:r>
              <w:t>článok </w:t>
            </w:r>
            <w:r w:rsidR="00901B76" w:rsidRPr="001420F5">
              <w:t xml:space="preserve">52 </w:t>
            </w:r>
            <w:r>
              <w:t>ods. </w:t>
            </w:r>
            <w:r w:rsidR="00901B76" w:rsidRPr="001420F5">
              <w:t>4 rokovacieho poriadku</w:t>
            </w:r>
          </w:p>
        </w:tc>
      </w:tr>
      <w:tr w:rsidR="009A3190" w:rsidRPr="001420F5" w14:paraId="69A36032" w14:textId="77777777">
        <w:tc>
          <w:tcPr>
            <w:tcW w:w="3085" w:type="dxa"/>
          </w:tcPr>
          <w:p w14:paraId="13811150" w14:textId="77777777" w:rsidR="00901B76" w:rsidRPr="001420F5" w:rsidRDefault="00901B76" w:rsidP="00901B76">
            <w:pPr>
              <w:autoSpaceDE w:val="0"/>
              <w:autoSpaceDN w:val="0"/>
              <w:jc w:val="left"/>
            </w:pPr>
            <w:r w:rsidRPr="001420F5">
              <w:t>Prijaté na plenárnom zasadnutí</w:t>
            </w:r>
          </w:p>
        </w:tc>
        <w:tc>
          <w:tcPr>
            <w:tcW w:w="6204" w:type="dxa"/>
            <w:vAlign w:val="bottom"/>
          </w:tcPr>
          <w:p w14:paraId="5981F511" w14:textId="77777777" w:rsidR="00901B76" w:rsidRPr="001420F5" w:rsidRDefault="005127DA" w:rsidP="00901B76">
            <w:pPr>
              <w:autoSpaceDE w:val="0"/>
              <w:autoSpaceDN w:val="0"/>
              <w:jc w:val="left"/>
            </w:pPr>
            <w:r w:rsidRPr="001420F5">
              <w:t>11/7/2024</w:t>
            </w:r>
          </w:p>
        </w:tc>
      </w:tr>
      <w:tr w:rsidR="009A3190" w:rsidRPr="001420F5" w14:paraId="7B04DC39" w14:textId="77777777">
        <w:tc>
          <w:tcPr>
            <w:tcW w:w="3085" w:type="dxa"/>
          </w:tcPr>
          <w:p w14:paraId="3BAE41E5" w14:textId="77777777" w:rsidR="00901B76" w:rsidRPr="001420F5" w:rsidRDefault="00901B76" w:rsidP="00901B76">
            <w:pPr>
              <w:autoSpaceDE w:val="0"/>
              <w:autoSpaceDN w:val="0"/>
              <w:jc w:val="left"/>
            </w:pPr>
            <w:r w:rsidRPr="001420F5">
              <w:t>Plenárne zasadnutie č.</w:t>
            </w:r>
          </w:p>
        </w:tc>
        <w:tc>
          <w:tcPr>
            <w:tcW w:w="6204" w:type="dxa"/>
            <w:vAlign w:val="bottom"/>
          </w:tcPr>
          <w:p w14:paraId="2722BEF7" w14:textId="77777777" w:rsidR="00901B76" w:rsidRPr="001420F5" w:rsidRDefault="005127DA" w:rsidP="00901B76">
            <w:pPr>
              <w:autoSpaceDE w:val="0"/>
              <w:autoSpaceDN w:val="0"/>
              <w:jc w:val="left"/>
            </w:pPr>
            <w:r w:rsidRPr="001420F5">
              <w:t>589</w:t>
            </w:r>
          </w:p>
        </w:tc>
      </w:tr>
      <w:tr w:rsidR="009A3190" w:rsidRPr="001420F5" w14:paraId="352F0995" w14:textId="77777777">
        <w:tc>
          <w:tcPr>
            <w:tcW w:w="3085" w:type="dxa"/>
          </w:tcPr>
          <w:p w14:paraId="04817664" w14:textId="77777777" w:rsidR="00901B76" w:rsidRPr="001420F5" w:rsidRDefault="00901B76" w:rsidP="00901B76">
            <w:pPr>
              <w:autoSpaceDE w:val="0"/>
              <w:autoSpaceDN w:val="0"/>
              <w:jc w:val="left"/>
            </w:pPr>
            <w:r w:rsidRPr="001420F5">
              <w:t>Výsledok hlasovania</w:t>
            </w:r>
            <w:r w:rsidRPr="001420F5">
              <w:br/>
              <w:t>(za/proti/zdržalo sa)</w:t>
            </w:r>
          </w:p>
        </w:tc>
        <w:tc>
          <w:tcPr>
            <w:tcW w:w="6204" w:type="dxa"/>
            <w:vAlign w:val="bottom"/>
          </w:tcPr>
          <w:p w14:paraId="75A77B38" w14:textId="77777777" w:rsidR="00901B76" w:rsidRPr="001420F5" w:rsidRDefault="00AF5F43" w:rsidP="00901B76">
            <w:pPr>
              <w:autoSpaceDE w:val="0"/>
              <w:autoSpaceDN w:val="0"/>
              <w:jc w:val="left"/>
            </w:pPr>
            <w:r w:rsidRPr="001420F5">
              <w:t>159/2/07</w:t>
            </w:r>
          </w:p>
        </w:tc>
      </w:tr>
    </w:tbl>
    <w:p w14:paraId="688F64E1" w14:textId="77777777" w:rsidR="00AC5114" w:rsidRPr="001420F5" w:rsidRDefault="00AC5114" w:rsidP="00574C9B"/>
    <w:p w14:paraId="601DFE14" w14:textId="77777777" w:rsidR="00AC5114" w:rsidRPr="001420F5" w:rsidRDefault="00AC5114" w:rsidP="00574C9B">
      <w:pPr>
        <w:sectPr w:rsidR="00AC5114" w:rsidRPr="001420F5" w:rsidSect="00C6634B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39" w:code="9"/>
          <w:pgMar w:top="5669" w:right="1418" w:bottom="1418" w:left="1418" w:header="709" w:footer="709" w:gutter="0"/>
          <w:cols w:space="720"/>
          <w:docGrid w:linePitch="360"/>
        </w:sectPr>
      </w:pPr>
    </w:p>
    <w:p w14:paraId="79A92625" w14:textId="4AF49427" w:rsidR="00A25592" w:rsidRPr="001420F5" w:rsidRDefault="00A25592" w:rsidP="00A25592">
      <w:pPr>
        <w:pStyle w:val="Heading1"/>
      </w:pPr>
      <w:r w:rsidRPr="001420F5">
        <w:lastRenderedPageBreak/>
        <w:t>Tesne pred začiatkom nového funkčného obdobia Európskej komisie my, členovia Európskeho hospodárskeho</w:t>
      </w:r>
      <w:r w:rsidR="001420F5">
        <w:t xml:space="preserve"> a </w:t>
      </w:r>
      <w:r w:rsidRPr="001420F5">
        <w:t>sociálneho výboru, ktorí zastupujeme organizácie občianskej spoločnosti, vyzývame členské štáty Európskej únie</w:t>
      </w:r>
      <w:r w:rsidR="001420F5">
        <w:t xml:space="preserve"> a </w:t>
      </w:r>
      <w:r w:rsidRPr="001420F5">
        <w:t>jej vedúcich predstaviteľov, európske inštitúcie</w:t>
      </w:r>
      <w:r w:rsidR="001420F5">
        <w:t xml:space="preserve"> a </w:t>
      </w:r>
      <w:r w:rsidRPr="001420F5">
        <w:t>občanov EÚ, aby zabezpečili</w:t>
      </w:r>
      <w:r w:rsidR="001420F5">
        <w:t xml:space="preserve"> a </w:t>
      </w:r>
      <w:r w:rsidRPr="001420F5">
        <w:t>chránili hospodársku, sociálnu</w:t>
      </w:r>
      <w:r w:rsidR="001420F5">
        <w:t xml:space="preserve"> a </w:t>
      </w:r>
      <w:r w:rsidRPr="001420F5">
        <w:t>územnú súdržnosť EÚ</w:t>
      </w:r>
      <w:r w:rsidR="001420F5">
        <w:t xml:space="preserve"> v </w:t>
      </w:r>
      <w:r w:rsidRPr="001420F5">
        <w:t>súlade</w:t>
      </w:r>
      <w:r w:rsidR="001420F5">
        <w:t xml:space="preserve"> s </w:t>
      </w:r>
      <w:r w:rsidRPr="001420F5">
        <w:t>článkom</w:t>
      </w:r>
      <w:r w:rsidR="001420F5">
        <w:t> </w:t>
      </w:r>
      <w:r w:rsidRPr="001420F5">
        <w:t>174 ZFEÚ.</w:t>
      </w:r>
    </w:p>
    <w:p w14:paraId="69295452" w14:textId="77777777" w:rsidR="00A25592" w:rsidRPr="001420F5" w:rsidRDefault="00A25592" w:rsidP="00A25592">
      <w:pPr>
        <w:pStyle w:val="Heading2"/>
        <w:numPr>
          <w:ilvl w:val="0"/>
          <w:numId w:val="0"/>
        </w:numPr>
        <w:ind w:left="567" w:hanging="567"/>
        <w:rPr>
          <w:sz w:val="18"/>
          <w:szCs w:val="18"/>
        </w:rPr>
      </w:pPr>
    </w:p>
    <w:p w14:paraId="269473A7" w14:textId="584FBDAE" w:rsidR="001420F5" w:rsidRDefault="00A25592" w:rsidP="00A25592">
      <w:pPr>
        <w:pStyle w:val="Heading1"/>
      </w:pPr>
      <w:r w:rsidRPr="001420F5">
        <w:t>Dôrazne poukazujeme na to, že základná zásada „na nikoho nezabudnúť“</w:t>
      </w:r>
      <w:r w:rsidR="001420F5">
        <w:t xml:space="preserve"> v </w:t>
      </w:r>
      <w:r w:rsidRPr="001420F5">
        <w:t>politike súdržnosti je naďalej zmysluplná</w:t>
      </w:r>
      <w:r w:rsidR="001420F5">
        <w:t xml:space="preserve"> a </w:t>
      </w:r>
      <w:r w:rsidRPr="001420F5">
        <w:t>platná</w:t>
      </w:r>
      <w:r w:rsidR="001420F5">
        <w:t xml:space="preserve"> a </w:t>
      </w:r>
      <w:r w:rsidRPr="001420F5">
        <w:t>že partneri občianskej spoločnosti sú pripravení pokračovať</w:t>
      </w:r>
      <w:r w:rsidR="001420F5">
        <w:t xml:space="preserve"> v </w:t>
      </w:r>
      <w:r w:rsidRPr="001420F5">
        <w:t>práci na jej uplatňovaní</w:t>
      </w:r>
      <w:r w:rsidR="001420F5">
        <w:t xml:space="preserve"> v </w:t>
      </w:r>
      <w:r w:rsidRPr="001420F5">
        <w:t>praxi prostredníctvom silnej investičnej politiky EÚ</w:t>
      </w:r>
      <w:r w:rsidR="001420F5">
        <w:t>.</w:t>
      </w:r>
    </w:p>
    <w:p w14:paraId="740E622F" w14:textId="43942D23" w:rsidR="00A25592" w:rsidRPr="001420F5" w:rsidRDefault="00A25592" w:rsidP="00A25592">
      <w:pPr>
        <w:ind w:left="567" w:hanging="567"/>
        <w:rPr>
          <w:sz w:val="18"/>
          <w:szCs w:val="18"/>
        </w:rPr>
      </w:pPr>
    </w:p>
    <w:p w14:paraId="66D9A593" w14:textId="1E4FEA13" w:rsidR="00A25592" w:rsidRPr="001420F5" w:rsidRDefault="00A25592" w:rsidP="00A25592">
      <w:pPr>
        <w:pStyle w:val="Heading1"/>
      </w:pPr>
      <w:r w:rsidRPr="001420F5">
        <w:t>Zdôrazňujeme, že nerovnosť príležitostí môže mať negatívny vplyv na dlhodobý rast</w:t>
      </w:r>
      <w:r w:rsidR="001420F5">
        <w:t xml:space="preserve"> a </w:t>
      </w:r>
      <w:r w:rsidRPr="001420F5">
        <w:t>konkurencieschopnosť na regionálnej</w:t>
      </w:r>
      <w:r w:rsidR="001420F5">
        <w:t xml:space="preserve"> a </w:t>
      </w:r>
      <w:r w:rsidRPr="001420F5">
        <w:t>národnej úrovni, ako aj na úrovni EÚ. Politika súdržnosti preto musí byť diverzifikovanejšia</w:t>
      </w:r>
      <w:r w:rsidR="001420F5">
        <w:t xml:space="preserve"> a </w:t>
      </w:r>
      <w:r w:rsidRPr="001420F5">
        <w:t>pružnejšia, no zároveň dôveryhodná, stabilná</w:t>
      </w:r>
      <w:r w:rsidR="001420F5">
        <w:t xml:space="preserve"> a </w:t>
      </w:r>
      <w:r w:rsidRPr="001420F5">
        <w:t>jednoznačná, aby sa mohla venovať väčšia pozornosť ľuďom, najmä tým najzraniteľnejším,</w:t>
      </w:r>
      <w:r w:rsidR="001420F5">
        <w:t xml:space="preserve"> a </w:t>
      </w:r>
      <w:r w:rsidRPr="001420F5">
        <w:t>lepšie riešiť nerovnosť príležitostí, ktorým mnohí čelia.</w:t>
      </w:r>
    </w:p>
    <w:p w14:paraId="46B1E606" w14:textId="77777777" w:rsidR="00A25592" w:rsidRPr="001420F5" w:rsidRDefault="00A25592" w:rsidP="00A25592">
      <w:pPr>
        <w:ind w:left="567" w:hanging="567"/>
        <w:rPr>
          <w:sz w:val="18"/>
          <w:szCs w:val="18"/>
        </w:rPr>
      </w:pPr>
    </w:p>
    <w:p w14:paraId="46DD204E" w14:textId="5147223A" w:rsidR="001420F5" w:rsidRDefault="00A25592" w:rsidP="00A25592">
      <w:pPr>
        <w:pStyle w:val="Heading1"/>
      </w:pPr>
      <w:r w:rsidRPr="001420F5">
        <w:t>Kriticky sa staviame</w:t>
      </w:r>
      <w:r w:rsidR="001420F5">
        <w:t xml:space="preserve"> k </w:t>
      </w:r>
      <w:r w:rsidRPr="001420F5">
        <w:t>tomu, aby sa zrušila funkcia komisára, ktorého hlavnou zodpovednosťou je portfólio politiky súdržnosti</w:t>
      </w:r>
      <w:r w:rsidR="001420F5">
        <w:t>.</w:t>
      </w:r>
    </w:p>
    <w:p w14:paraId="6A8998B0" w14:textId="2825A2A3" w:rsidR="00A25592" w:rsidRPr="001420F5" w:rsidRDefault="00A25592" w:rsidP="00A25592">
      <w:pPr>
        <w:pStyle w:val="Heading1"/>
        <w:numPr>
          <w:ilvl w:val="0"/>
          <w:numId w:val="0"/>
        </w:numPr>
        <w:ind w:left="567" w:hanging="567"/>
        <w:rPr>
          <w:sz w:val="18"/>
          <w:szCs w:val="18"/>
        </w:rPr>
      </w:pPr>
    </w:p>
    <w:p w14:paraId="3BB37C58" w14:textId="210CD0C8" w:rsidR="00A25592" w:rsidRPr="001420F5" w:rsidRDefault="00A25592" w:rsidP="00A25592">
      <w:pPr>
        <w:pStyle w:val="Heading1"/>
      </w:pPr>
      <w:r w:rsidRPr="001420F5">
        <w:t>Sme proti obmedzovaniu politiky súdržnosti</w:t>
      </w:r>
      <w:r w:rsidR="001420F5">
        <w:t xml:space="preserve"> a </w:t>
      </w:r>
      <w:r w:rsidRPr="001420F5">
        <w:t>jej transformácii na nástroj na riešenie krízových situácií.</w:t>
      </w:r>
    </w:p>
    <w:p w14:paraId="6FB5FEBA" w14:textId="77777777" w:rsidR="00A25592" w:rsidRPr="001420F5" w:rsidRDefault="00A25592" w:rsidP="00A25592">
      <w:pPr>
        <w:ind w:left="567" w:hanging="567"/>
        <w:rPr>
          <w:sz w:val="18"/>
          <w:szCs w:val="18"/>
        </w:rPr>
      </w:pPr>
    </w:p>
    <w:p w14:paraId="5B8CB3F5" w14:textId="71772415" w:rsidR="001420F5" w:rsidRDefault="00A25592" w:rsidP="00A25592">
      <w:pPr>
        <w:pStyle w:val="Heading1"/>
      </w:pPr>
      <w:r w:rsidRPr="001420F5">
        <w:t>Odmietame myšlienku premeniť politiku súdržnosti na nástroj, ktorý bude podobný Mechanizmu na podporu obnovy</w:t>
      </w:r>
      <w:r w:rsidR="001420F5">
        <w:t xml:space="preserve"> a </w:t>
      </w:r>
      <w:r w:rsidRPr="001420F5">
        <w:t>odolnosti</w:t>
      </w:r>
      <w:r w:rsidR="001420F5">
        <w:t xml:space="preserve"> a v </w:t>
      </w:r>
      <w:r w:rsidRPr="001420F5">
        <w:t>rámci ktorého bude štrukturálne zapojenie zainteresovaných strán, spoločné riadenie</w:t>
      </w:r>
      <w:r w:rsidR="001420F5">
        <w:t xml:space="preserve"> a </w:t>
      </w:r>
      <w:r w:rsidRPr="001420F5">
        <w:t>viacúrovňové riadenie iba čiastočné alebo žiadne</w:t>
      </w:r>
      <w:r w:rsidR="001420F5">
        <w:t>.</w:t>
      </w:r>
    </w:p>
    <w:p w14:paraId="1D9F193B" w14:textId="2C2D290D" w:rsidR="00A25592" w:rsidRPr="001420F5" w:rsidRDefault="00A25592" w:rsidP="00A25592">
      <w:pPr>
        <w:ind w:left="567" w:hanging="567"/>
        <w:rPr>
          <w:sz w:val="18"/>
          <w:szCs w:val="18"/>
        </w:rPr>
      </w:pPr>
    </w:p>
    <w:p w14:paraId="7B97A1EE" w14:textId="3886931A" w:rsidR="00A25592" w:rsidRPr="001420F5" w:rsidRDefault="00A25592" w:rsidP="00A25592">
      <w:pPr>
        <w:pStyle w:val="Heading1"/>
      </w:pPr>
      <w:r w:rsidRPr="001420F5">
        <w:t>Podporujeme zásadu partnerstva</w:t>
      </w:r>
      <w:r w:rsidR="001420F5">
        <w:t xml:space="preserve"> a </w:t>
      </w:r>
      <w:r w:rsidRPr="001420F5">
        <w:t>jasné pravidlá zapájania občianskej spoločnosti do výberu, riadenia</w:t>
      </w:r>
      <w:r w:rsidR="001420F5">
        <w:t xml:space="preserve"> a </w:t>
      </w:r>
      <w:r w:rsidRPr="001420F5">
        <w:t>monitorovania činností financovaných Európskou úniou.</w:t>
      </w:r>
    </w:p>
    <w:p w14:paraId="032C1BD4" w14:textId="77777777" w:rsidR="00A25592" w:rsidRPr="001420F5" w:rsidRDefault="00A25592" w:rsidP="00A25592">
      <w:pPr>
        <w:ind w:left="567" w:hanging="567"/>
        <w:rPr>
          <w:sz w:val="18"/>
          <w:szCs w:val="18"/>
          <w:highlight w:val="yellow"/>
        </w:rPr>
      </w:pPr>
    </w:p>
    <w:p w14:paraId="4E344AF0" w14:textId="3021B8F5" w:rsidR="00A25592" w:rsidRPr="001420F5" w:rsidRDefault="00A25592" w:rsidP="00A25592">
      <w:pPr>
        <w:pStyle w:val="Heading1"/>
      </w:pPr>
      <w:r w:rsidRPr="001420F5">
        <w:t>Žiadame, aby sa</w:t>
      </w:r>
      <w:r w:rsidR="001420F5">
        <w:t xml:space="preserve"> v </w:t>
      </w:r>
      <w:r w:rsidRPr="001420F5">
        <w:t>ďalšom nariadení</w:t>
      </w:r>
      <w:r w:rsidR="001420F5">
        <w:t xml:space="preserve"> o </w:t>
      </w:r>
      <w:r w:rsidRPr="001420F5">
        <w:t>spoločných ustanoveniach, ktoré bude upravovať využívanie kohéznych fondov</w:t>
      </w:r>
      <w:r w:rsidR="001420F5">
        <w:t xml:space="preserve"> a </w:t>
      </w:r>
      <w:r w:rsidRPr="001420F5">
        <w:t>iných finančných prostriedkov EÚ po roku</w:t>
      </w:r>
      <w:r w:rsidR="001420F5">
        <w:t> </w:t>
      </w:r>
      <w:r w:rsidRPr="001420F5">
        <w:t>2027, použilo rovnako jednoznačné znenie týkajúce sa zapojenia občianskej spoločnosti ako</w:t>
      </w:r>
      <w:r w:rsidR="001420F5">
        <w:t xml:space="preserve"> v </w:t>
      </w:r>
      <w:r w:rsidRPr="001420F5">
        <w:t>nariadení na roky</w:t>
      </w:r>
      <w:r w:rsidR="001420F5">
        <w:t> </w:t>
      </w:r>
      <w:r w:rsidRPr="001420F5">
        <w:t>2021 až 2027.</w:t>
      </w:r>
    </w:p>
    <w:p w14:paraId="472BB880" w14:textId="77777777" w:rsidR="00A25592" w:rsidRPr="001420F5" w:rsidRDefault="00A25592" w:rsidP="00A25592">
      <w:pPr>
        <w:ind w:left="567" w:hanging="567"/>
        <w:rPr>
          <w:sz w:val="18"/>
          <w:szCs w:val="18"/>
        </w:rPr>
      </w:pPr>
    </w:p>
    <w:p w14:paraId="7351D2C6" w14:textId="5AB3C575" w:rsidR="00A25592" w:rsidRPr="001420F5" w:rsidRDefault="00A25592" w:rsidP="00A25592">
      <w:pPr>
        <w:pStyle w:val="Heading1"/>
      </w:pPr>
      <w:r w:rsidRPr="001420F5">
        <w:t>Požadujeme takú politiku súdržnosti, ktorá bude miestne orientovaná</w:t>
      </w:r>
      <w:r w:rsidR="001420F5">
        <w:t xml:space="preserve"> a </w:t>
      </w:r>
      <w:r w:rsidRPr="001420F5">
        <w:t>zameraná na ľudí.</w:t>
      </w:r>
    </w:p>
    <w:p w14:paraId="250FF2B0" w14:textId="77777777" w:rsidR="00A25592" w:rsidRPr="001420F5" w:rsidRDefault="00A25592" w:rsidP="00A25592">
      <w:pPr>
        <w:ind w:left="567" w:hanging="567"/>
        <w:rPr>
          <w:sz w:val="18"/>
          <w:szCs w:val="18"/>
        </w:rPr>
      </w:pPr>
    </w:p>
    <w:p w14:paraId="6FDE0E0B" w14:textId="65542576" w:rsidR="00A25592" w:rsidRPr="001420F5" w:rsidRDefault="00A25592" w:rsidP="00A25592">
      <w:pPr>
        <w:pStyle w:val="Heading2"/>
      </w:pPr>
      <w:r w:rsidRPr="001420F5">
        <w:t>Miestne orientovaná musí byť preto, lebo je potrebné rešpektovať</w:t>
      </w:r>
      <w:r w:rsidR="001420F5">
        <w:t xml:space="preserve"> a v </w:t>
      </w:r>
      <w:r w:rsidRPr="001420F5">
        <w:t>plnej miere zohľadňovať územné charakteristiky zistené posúdeniami územného vplyvu.</w:t>
      </w:r>
    </w:p>
    <w:p w14:paraId="34CDC078" w14:textId="77777777" w:rsidR="00A25592" w:rsidRPr="001420F5" w:rsidRDefault="00A25592" w:rsidP="00A25592">
      <w:pPr>
        <w:ind w:left="567" w:hanging="567"/>
        <w:rPr>
          <w:sz w:val="18"/>
          <w:szCs w:val="18"/>
        </w:rPr>
      </w:pPr>
    </w:p>
    <w:p w14:paraId="545D9AD4" w14:textId="29CAF407" w:rsidR="00A25592" w:rsidRPr="001420F5" w:rsidRDefault="00A25592" w:rsidP="00A25592">
      <w:pPr>
        <w:pStyle w:val="Heading2"/>
      </w:pPr>
      <w:r w:rsidRPr="001420F5">
        <w:t>Prístup zameraný na ľudí je nevyhnutný na dosiahnutie želaných výsledkov, lebo vďaka nemu sa plne rešpektuje zásada partnerstva</w:t>
      </w:r>
      <w:r w:rsidR="001420F5">
        <w:t xml:space="preserve"> a </w:t>
      </w:r>
      <w:r w:rsidRPr="001420F5">
        <w:t>jeho základnými kameňmi sú viacúrovňové riadenie, partnerstvo</w:t>
      </w:r>
      <w:r w:rsidR="001420F5">
        <w:t xml:space="preserve"> a </w:t>
      </w:r>
      <w:r w:rsidRPr="001420F5">
        <w:t>prístup zdola nahor.</w:t>
      </w:r>
    </w:p>
    <w:p w14:paraId="26098BB0" w14:textId="77777777" w:rsidR="00A25592" w:rsidRPr="001420F5" w:rsidRDefault="00A25592" w:rsidP="00A25592">
      <w:pPr>
        <w:ind w:left="567" w:hanging="567"/>
        <w:rPr>
          <w:sz w:val="18"/>
          <w:szCs w:val="18"/>
        </w:rPr>
      </w:pPr>
    </w:p>
    <w:p w14:paraId="57409C27" w14:textId="58A46D71" w:rsidR="00A25592" w:rsidRPr="001420F5" w:rsidRDefault="00A25592" w:rsidP="009B091D">
      <w:pPr>
        <w:pStyle w:val="Heading1"/>
      </w:pPr>
      <w:r w:rsidRPr="001420F5">
        <w:t>Žiadame pre politiku súdržnosti nový impulz. Domnievame sa, že treba rozšíriť, zmodernizovať alebo zrevidovať súbor nástrojov</w:t>
      </w:r>
      <w:r w:rsidR="001420F5">
        <w:t xml:space="preserve"> a </w:t>
      </w:r>
      <w:r w:rsidRPr="001420F5">
        <w:t>prístupov</w:t>
      </w:r>
      <w:r w:rsidR="001420F5">
        <w:t xml:space="preserve"> s </w:t>
      </w:r>
      <w:r w:rsidRPr="001420F5">
        <w:t>cieľom vybudovať silnú, účinnú, flexibilnú</w:t>
      </w:r>
      <w:r w:rsidR="001420F5">
        <w:t xml:space="preserve"> a </w:t>
      </w:r>
      <w:r w:rsidRPr="001420F5">
        <w:t>obnovenú politiku súdržnosti</w:t>
      </w:r>
      <w:r w:rsidR="001420F5">
        <w:t xml:space="preserve"> s </w:t>
      </w:r>
      <w:r w:rsidRPr="001420F5">
        <w:t>väčším zameraním na kapacity, medziregionálne prepojenia, efektívne výsledky</w:t>
      </w:r>
      <w:r w:rsidR="001420F5">
        <w:t xml:space="preserve"> a </w:t>
      </w:r>
      <w:r w:rsidRPr="001420F5">
        <w:t>príležitosti pre príjemcov nad rámec bežných investícií. Na tento účel je nevyhnutné:</w:t>
      </w:r>
    </w:p>
    <w:p w14:paraId="64B36D5E" w14:textId="77777777" w:rsidR="00A25592" w:rsidRPr="001420F5" w:rsidRDefault="00A25592" w:rsidP="00A25592">
      <w:pPr>
        <w:ind w:left="567" w:hanging="567"/>
      </w:pPr>
    </w:p>
    <w:p w14:paraId="527789E3" w14:textId="78EE63D5" w:rsidR="00A25592" w:rsidRPr="001420F5" w:rsidRDefault="00A25592" w:rsidP="00A25592">
      <w:pPr>
        <w:pStyle w:val="Heading2"/>
      </w:pPr>
      <w:r w:rsidRPr="001420F5">
        <w:t>zamerať sa na hlavné štrukturálne výzvy</w:t>
      </w:r>
      <w:r w:rsidR="001420F5">
        <w:t xml:space="preserve"> v </w:t>
      </w:r>
      <w:r w:rsidRPr="001420F5">
        <w:t>EÚ: slabý rozvoj, dlhodobú hospodársku stagnáciu</w:t>
      </w:r>
      <w:r w:rsidR="001420F5">
        <w:t xml:space="preserve"> a </w:t>
      </w:r>
      <w:r w:rsidRPr="001420F5">
        <w:t>nedostatok rovnakých príležitostí vo všetkých regiónoch, ako aj na rozdiely medzi regiónmi,</w:t>
      </w:r>
      <w:r w:rsidR="001420F5">
        <w:t xml:space="preserve"> v </w:t>
      </w:r>
      <w:r w:rsidRPr="001420F5">
        <w:t>rámci nich</w:t>
      </w:r>
      <w:r w:rsidR="001420F5">
        <w:t xml:space="preserve"> a v </w:t>
      </w:r>
      <w:r w:rsidRPr="001420F5">
        <w:t>spoločnosti;</w:t>
      </w:r>
    </w:p>
    <w:p w14:paraId="4EF1A208" w14:textId="77777777" w:rsidR="00A25592" w:rsidRPr="001420F5" w:rsidRDefault="00A25592" w:rsidP="00A25592">
      <w:pPr>
        <w:pStyle w:val="ListParagraph"/>
        <w:ind w:left="567" w:hanging="567"/>
      </w:pPr>
    </w:p>
    <w:p w14:paraId="26E1DB35" w14:textId="46ABCD68" w:rsidR="00A25592" w:rsidRPr="001420F5" w:rsidRDefault="00A25592" w:rsidP="00A25592">
      <w:pPr>
        <w:pStyle w:val="Heading2"/>
      </w:pPr>
      <w:r w:rsidRPr="001420F5">
        <w:t>klásť väčší dôraz na stratégie územnej politiky, ako sú integrované územné investície</w:t>
      </w:r>
      <w:r w:rsidR="001420F5">
        <w:t xml:space="preserve"> a </w:t>
      </w:r>
      <w:r w:rsidRPr="001420F5">
        <w:t>miestny rozvoj vedený komunitou. Je preto potrebné posilniť kapacity miestnych, mestských</w:t>
      </w:r>
      <w:r w:rsidR="001420F5">
        <w:t xml:space="preserve"> a </w:t>
      </w:r>
      <w:r w:rsidRPr="001420F5">
        <w:t>územných orgánov na riadenie fondov, pričom však netreba zabúdať na súdržnosť;</w:t>
      </w:r>
    </w:p>
    <w:p w14:paraId="41A352FA" w14:textId="77777777" w:rsidR="00A25592" w:rsidRPr="001420F5" w:rsidRDefault="00A25592" w:rsidP="00A25592">
      <w:pPr>
        <w:ind w:left="567" w:hanging="567"/>
      </w:pPr>
    </w:p>
    <w:p w14:paraId="31B308AE" w14:textId="73B1479C" w:rsidR="00A25592" w:rsidRPr="001420F5" w:rsidRDefault="00A25592" w:rsidP="00A25592">
      <w:pPr>
        <w:pStyle w:val="Heading2"/>
      </w:pPr>
      <w:r w:rsidRPr="001420F5">
        <w:t>zamerať sa na osoby</w:t>
      </w:r>
      <w:r w:rsidR="001420F5">
        <w:t xml:space="preserve"> s </w:t>
      </w:r>
      <w:r w:rsidRPr="001420F5">
        <w:t>nižšou mierou zamestnanosti (ženy, mladí ľudia, osoby so zdravotným postihnutím, prisťahovalci, ľudia</w:t>
      </w:r>
      <w:r w:rsidR="001420F5">
        <w:t xml:space="preserve"> s </w:t>
      </w:r>
      <w:r w:rsidRPr="001420F5">
        <w:t>nízkou úrovňou vzdelania), pre ktoré sú</w:t>
      </w:r>
      <w:r w:rsidR="001420F5">
        <w:t xml:space="preserve"> v </w:t>
      </w:r>
      <w:r w:rsidRPr="001420F5">
        <w:t>praxi potrebné osobitné programy odbornej prípravy, zvyšovania kvalifikácie, rekvalifikácie</w:t>
      </w:r>
      <w:r w:rsidR="001420F5">
        <w:t xml:space="preserve"> a </w:t>
      </w:r>
      <w:r w:rsidRPr="001420F5">
        <w:t>podpory;</w:t>
      </w:r>
    </w:p>
    <w:p w14:paraId="3C60B61B" w14:textId="77777777" w:rsidR="00A25592" w:rsidRPr="001420F5" w:rsidRDefault="00A25592" w:rsidP="00A25592">
      <w:pPr>
        <w:ind w:left="567" w:hanging="567"/>
      </w:pPr>
    </w:p>
    <w:p w14:paraId="6536FACE" w14:textId="2A9A8AA6" w:rsidR="00A25592" w:rsidRPr="001420F5" w:rsidRDefault="00A25592" w:rsidP="00A25592">
      <w:pPr>
        <w:pStyle w:val="Heading2"/>
      </w:pPr>
      <w:r w:rsidRPr="001420F5">
        <w:t>pokračovať</w:t>
      </w:r>
      <w:r w:rsidR="001420F5">
        <w:t xml:space="preserve"> v </w:t>
      </w:r>
      <w:r w:rsidRPr="001420F5">
        <w:t>špecializácii</w:t>
      </w:r>
      <w:r w:rsidR="001420F5">
        <w:t xml:space="preserve"> a </w:t>
      </w:r>
      <w:r w:rsidRPr="001420F5">
        <w:t xml:space="preserve">diverzifikácii nástrojov vrátane finančných nástrojov, aby sa politikou súdržnosti mohlo reagovať na osobitné skupiny zraniteľných osôb, oblasti, ktoré sú pre </w:t>
      </w:r>
      <w:proofErr w:type="spellStart"/>
      <w:r w:rsidRPr="001420F5">
        <w:t>ne</w:t>
      </w:r>
      <w:proofErr w:type="spellEnd"/>
      <w:r w:rsidRPr="001420F5">
        <w:t xml:space="preserve"> relevantné,</w:t>
      </w:r>
      <w:r w:rsidR="001420F5">
        <w:t xml:space="preserve"> a v </w:t>
      </w:r>
      <w:r w:rsidRPr="001420F5">
        <w:t>konkrétnych regiónoch, kde všeobecné riešenia</w:t>
      </w:r>
      <w:r w:rsidR="001420F5">
        <w:t xml:space="preserve"> v </w:t>
      </w:r>
      <w:r w:rsidRPr="001420F5">
        <w:t>oblasti zamestnanosti nie sú odpoveďou na ich pracovnú integráciu;</w:t>
      </w:r>
    </w:p>
    <w:p w14:paraId="0940983E" w14:textId="77777777" w:rsidR="00A25592" w:rsidRPr="001420F5" w:rsidRDefault="00A25592" w:rsidP="00A25592"/>
    <w:p w14:paraId="0E1D291D" w14:textId="1235A754" w:rsidR="00A25592" w:rsidRPr="001420F5" w:rsidRDefault="00A25592" w:rsidP="00A25592">
      <w:pPr>
        <w:pStyle w:val="Heading2"/>
      </w:pPr>
      <w:r w:rsidRPr="001420F5">
        <w:t>podporovať investície do sociálnej infraštruktúry, aby mohla EÚ zvládnuť významné demografické výzvy, ktorým čelí. čo je najpotrebnejšie</w:t>
      </w:r>
      <w:r w:rsidR="001420F5">
        <w:t xml:space="preserve"> v </w:t>
      </w:r>
      <w:r w:rsidRPr="001420F5">
        <w:t>regiónoch, ktoré trpia úbytkom pracovnej sily</w:t>
      </w:r>
      <w:r w:rsidR="001420F5">
        <w:t xml:space="preserve"> a </w:t>
      </w:r>
      <w:r w:rsidRPr="001420F5">
        <w:t>kde je malý podiel ľudí</w:t>
      </w:r>
      <w:r w:rsidR="001420F5">
        <w:t xml:space="preserve"> s </w:t>
      </w:r>
      <w:r w:rsidRPr="001420F5">
        <w:t>vysokoškolským vzdelaním,</w:t>
      </w:r>
      <w:r w:rsidR="001420F5">
        <w:t xml:space="preserve"> a v </w:t>
      </w:r>
      <w:r w:rsidRPr="001420F5">
        <w:t>regiónoch postihnutých odchodom mladých ľudí;</w:t>
      </w:r>
    </w:p>
    <w:p w14:paraId="0FBF05EB" w14:textId="77777777" w:rsidR="00A25592" w:rsidRPr="001420F5" w:rsidRDefault="00A25592" w:rsidP="00A25592">
      <w:pPr>
        <w:ind w:left="567" w:hanging="567"/>
      </w:pPr>
    </w:p>
    <w:p w14:paraId="2E52CDAE" w14:textId="5BB03F98" w:rsidR="00A25592" w:rsidRPr="001420F5" w:rsidRDefault="00A25592" w:rsidP="00A25592">
      <w:pPr>
        <w:pStyle w:val="Heading2"/>
      </w:pPr>
      <w:r w:rsidRPr="001420F5">
        <w:t>zvýšiť potenciál cezhraničných trhov práce, ktoré sú</w:t>
      </w:r>
      <w:r w:rsidR="001420F5">
        <w:t xml:space="preserve"> v </w:t>
      </w:r>
      <w:r w:rsidRPr="001420F5">
        <w:t>dôsledku právnych</w:t>
      </w:r>
      <w:r w:rsidR="001420F5">
        <w:t xml:space="preserve"> a </w:t>
      </w:r>
      <w:r w:rsidRPr="001420F5">
        <w:t>administratívnych prekážok nedostatočne rozvinuté, pričom je mimoriadne dôležité zlepšiť cezhraničnú</w:t>
      </w:r>
      <w:r w:rsidR="001420F5">
        <w:t xml:space="preserve"> a </w:t>
      </w:r>
      <w:r w:rsidRPr="001420F5">
        <w:t>medziregionálnu spoluprácu, najmä</w:t>
      </w:r>
      <w:r w:rsidR="001420F5">
        <w:t xml:space="preserve"> v </w:t>
      </w:r>
      <w:r w:rsidRPr="001420F5">
        <w:t>oblasti rozvoja infraštruktúry</w:t>
      </w:r>
      <w:r w:rsidR="001420F5">
        <w:t xml:space="preserve"> a </w:t>
      </w:r>
      <w:r w:rsidRPr="001420F5">
        <w:t>na podporu činností subjektov sociálneho hospodárstva;</w:t>
      </w:r>
    </w:p>
    <w:p w14:paraId="39A966BA" w14:textId="77777777" w:rsidR="00A25592" w:rsidRPr="001420F5" w:rsidRDefault="00A25592" w:rsidP="00A25592">
      <w:pPr>
        <w:ind w:left="567" w:hanging="567"/>
      </w:pPr>
    </w:p>
    <w:p w14:paraId="32D6B13B" w14:textId="18D8D89C" w:rsidR="00A25592" w:rsidRPr="001420F5" w:rsidRDefault="00A25592" w:rsidP="00A25592">
      <w:pPr>
        <w:pStyle w:val="Heading2"/>
      </w:pPr>
      <w:r w:rsidRPr="001420F5">
        <w:t>pokračovať</w:t>
      </w:r>
      <w:r w:rsidR="001420F5">
        <w:t xml:space="preserve"> v </w:t>
      </w:r>
      <w:r w:rsidRPr="001420F5">
        <w:t>ochrane malých</w:t>
      </w:r>
      <w:r w:rsidR="001420F5">
        <w:t xml:space="preserve"> a </w:t>
      </w:r>
      <w:r w:rsidRPr="001420F5">
        <w:t>stredných podnikov</w:t>
      </w:r>
      <w:r w:rsidR="001420F5">
        <w:t xml:space="preserve"> a </w:t>
      </w:r>
      <w:r w:rsidRPr="001420F5">
        <w:t>ich udržateľnosti. To si vyžaduje inovatívne, ale jednoduché využívanie súčasných štandardných európskych nástrojov, ako je Európsky sociálny fond, Európsky fond regionálneho rozvoja, Kohézny fond</w:t>
      </w:r>
      <w:r w:rsidR="001420F5">
        <w:t xml:space="preserve"> a </w:t>
      </w:r>
      <w:r w:rsidRPr="001420F5">
        <w:t>Mechanizmus spravodlivej transformácie, aby tieto podniky mali ľahký prístup</w:t>
      </w:r>
      <w:r w:rsidR="001420F5">
        <w:t xml:space="preserve"> k </w:t>
      </w:r>
      <w:r w:rsidRPr="001420F5">
        <w:t>financovaniu</w:t>
      </w:r>
      <w:r w:rsidR="001420F5">
        <w:t xml:space="preserve"> a </w:t>
      </w:r>
      <w:r w:rsidRPr="001420F5">
        <w:t>mohli získať dlhodobo priaznivé úverové podmienky;</w:t>
      </w:r>
    </w:p>
    <w:p w14:paraId="7159FF18" w14:textId="77777777" w:rsidR="00A25592" w:rsidRPr="001420F5" w:rsidRDefault="00A25592" w:rsidP="00A25592">
      <w:pPr>
        <w:ind w:left="567" w:hanging="567"/>
      </w:pPr>
    </w:p>
    <w:p w14:paraId="249C33AE" w14:textId="2F78B9A7" w:rsidR="00A25592" w:rsidRPr="001420F5" w:rsidRDefault="00A25592" w:rsidP="00A25592">
      <w:pPr>
        <w:pStyle w:val="Heading2"/>
      </w:pPr>
      <w:r w:rsidRPr="001420F5">
        <w:t>zintenzívniť synergie</w:t>
      </w:r>
      <w:r w:rsidR="001420F5">
        <w:t xml:space="preserve"> v </w:t>
      </w:r>
      <w:r w:rsidRPr="001420F5">
        <w:t>rámci Mechanizmu spravodlivej transformácie ako celku. Sme presvedčení, že politika súdržnosti musí zostať kľúčovou investičnou politikou EÚ na podporu európskej regionálnej politiky, pokiaľ ide</w:t>
      </w:r>
      <w:r w:rsidR="001420F5">
        <w:t xml:space="preserve"> o </w:t>
      </w:r>
      <w:r w:rsidRPr="001420F5">
        <w:t>adaptáciu na klimatické ciele. Zásadou „výrazne nenarušiť“ treba zabezpečiť, aby investície zodpovedali cieľom Zelenej dohody;</w:t>
      </w:r>
    </w:p>
    <w:p w14:paraId="17776CB6" w14:textId="77777777" w:rsidR="00A25592" w:rsidRPr="001420F5" w:rsidRDefault="00A25592" w:rsidP="00A25592">
      <w:pPr>
        <w:ind w:left="567" w:hanging="567"/>
      </w:pPr>
    </w:p>
    <w:p w14:paraId="5B923511" w14:textId="15077229" w:rsidR="00A25592" w:rsidRPr="001420F5" w:rsidRDefault="00A25592" w:rsidP="00A25592">
      <w:pPr>
        <w:pStyle w:val="Heading2"/>
      </w:pPr>
      <w:r w:rsidRPr="001420F5">
        <w:t>ďalej skúmať financovanie veľkých podnikov ako dôležitý faktor konvergencie najmä</w:t>
      </w:r>
      <w:r w:rsidR="001420F5">
        <w:t xml:space="preserve"> v </w:t>
      </w:r>
      <w:r w:rsidRPr="001420F5">
        <w:t>súvislosti so strategickými technológiami,</w:t>
      </w:r>
      <w:r w:rsidR="001420F5">
        <w:t xml:space="preserve"> a </w:t>
      </w:r>
      <w:r w:rsidRPr="001420F5">
        <w:t>to prostredníctvom nového nástroja STEP (Platforma strategických technológií pre Európu);</w:t>
      </w:r>
    </w:p>
    <w:p w14:paraId="130ABACD" w14:textId="77777777" w:rsidR="00A25592" w:rsidRPr="001420F5" w:rsidRDefault="00A25592" w:rsidP="00A25592">
      <w:pPr>
        <w:ind w:left="567" w:hanging="567"/>
      </w:pPr>
    </w:p>
    <w:p w14:paraId="1DACF3FC" w14:textId="3BE6FE86" w:rsidR="00A25592" w:rsidRPr="001420F5" w:rsidRDefault="00A25592" w:rsidP="00A25592">
      <w:pPr>
        <w:pStyle w:val="Heading2"/>
      </w:pPr>
      <w:r w:rsidRPr="001420F5">
        <w:t>vytvoriť nové typy hospodárskych vyhliadok pre menej rozvinuté, okrajové, riedko osídlené</w:t>
      </w:r>
      <w:r w:rsidR="001420F5">
        <w:t xml:space="preserve"> a </w:t>
      </w:r>
      <w:r w:rsidRPr="001420F5">
        <w:t>vidiecke oblasti, ostrovy EÚ</w:t>
      </w:r>
      <w:r w:rsidR="001420F5">
        <w:t xml:space="preserve"> a </w:t>
      </w:r>
      <w:r w:rsidRPr="001420F5">
        <w:t>najvzdialenejšie regióny. Takisto je potrebné odstrániť rozdiely medzi vidieckymi</w:t>
      </w:r>
      <w:r w:rsidR="001420F5">
        <w:t xml:space="preserve"> a </w:t>
      </w:r>
      <w:r w:rsidRPr="001420F5">
        <w:t>mestskými oblasťami</w:t>
      </w:r>
      <w:r w:rsidR="001420F5">
        <w:t xml:space="preserve"> a </w:t>
      </w:r>
      <w:r w:rsidRPr="001420F5">
        <w:t>centrami miest</w:t>
      </w:r>
      <w:r w:rsidR="001420F5">
        <w:t xml:space="preserve"> a </w:t>
      </w:r>
      <w:r w:rsidRPr="001420F5">
        <w:t>súčasne upevniť prepojenie medzi nimi;</w:t>
      </w:r>
    </w:p>
    <w:p w14:paraId="0F18D627" w14:textId="77777777" w:rsidR="00A25592" w:rsidRPr="001420F5" w:rsidRDefault="00A25592" w:rsidP="00A25592">
      <w:pPr>
        <w:ind w:left="567" w:hanging="567"/>
      </w:pPr>
    </w:p>
    <w:p w14:paraId="46DC5435" w14:textId="46AD63B6" w:rsidR="00A25592" w:rsidRPr="001420F5" w:rsidRDefault="00A25592" w:rsidP="00A25592">
      <w:pPr>
        <w:pStyle w:val="Heading2"/>
      </w:pPr>
      <w:r w:rsidRPr="001420F5">
        <w:t>podporovať iniciatívy na dôkladnú identifikáciu</w:t>
      </w:r>
      <w:r w:rsidR="001420F5">
        <w:t xml:space="preserve"> a </w:t>
      </w:r>
      <w:r w:rsidRPr="001420F5">
        <w:t>riešenie osobitných potrieb regiónov</w:t>
      </w:r>
      <w:r w:rsidR="001420F5">
        <w:t xml:space="preserve"> a </w:t>
      </w:r>
      <w:r w:rsidRPr="001420F5">
        <w:t>území</w:t>
      </w:r>
      <w:r w:rsidR="001420F5">
        <w:t xml:space="preserve"> v </w:t>
      </w:r>
      <w:r w:rsidRPr="001420F5">
        <w:t>pasci rozvoja</w:t>
      </w:r>
      <w:r w:rsidR="001420F5">
        <w:t xml:space="preserve"> a </w:t>
      </w:r>
      <w:r w:rsidRPr="001420F5">
        <w:t>pomôcť im prekonať ich problémy;</w:t>
      </w:r>
    </w:p>
    <w:p w14:paraId="0D975E62" w14:textId="77777777" w:rsidR="00A25592" w:rsidRPr="001420F5" w:rsidRDefault="00A25592" w:rsidP="00A25592">
      <w:pPr>
        <w:ind w:left="567" w:hanging="567"/>
      </w:pPr>
    </w:p>
    <w:p w14:paraId="030C8303" w14:textId="295EC946" w:rsidR="00A25592" w:rsidRPr="001420F5" w:rsidRDefault="00A25592" w:rsidP="00A25592">
      <w:pPr>
        <w:pStyle w:val="Heading2"/>
      </w:pPr>
      <w:r w:rsidRPr="001420F5">
        <w:t>schváliť takú politiku súdržnosti, ktorá bude zahŕňať kľúčové prvky, ako je spoločné riadenie, regionálny prístup, predbežné financovanie</w:t>
      </w:r>
      <w:r w:rsidR="001420F5">
        <w:t xml:space="preserve"> a </w:t>
      </w:r>
      <w:r w:rsidRPr="001420F5">
        <w:t>miera spolufinancovania. Samotné investície nestačia. Každý región potrebuje silné riadiace štruktúry</w:t>
      </w:r>
      <w:r w:rsidR="001420F5">
        <w:t xml:space="preserve"> a </w:t>
      </w:r>
      <w:r w:rsidRPr="001420F5">
        <w:t>vhodnú kombináciu politík, pri ktorej sa využívajú synergie so všetkými zúčastnenými stranami, Potrebujeme prístup zdola nahor,</w:t>
      </w:r>
      <w:r w:rsidR="001420F5">
        <w:t xml:space="preserve"> a </w:t>
      </w:r>
      <w:r w:rsidRPr="001420F5">
        <w:t>preto by investície mali byť sprevádzané prispôsobenými reformami</w:t>
      </w:r>
      <w:r w:rsidR="001420F5">
        <w:t xml:space="preserve"> a </w:t>
      </w:r>
      <w:r w:rsidRPr="001420F5">
        <w:t>politikami ústretovými voči občanom;</w:t>
      </w:r>
    </w:p>
    <w:p w14:paraId="120AC06A" w14:textId="77777777" w:rsidR="00A25592" w:rsidRPr="001420F5" w:rsidRDefault="00A25592" w:rsidP="00A25592">
      <w:pPr>
        <w:ind w:left="567" w:hanging="567"/>
      </w:pPr>
    </w:p>
    <w:p w14:paraId="41847070" w14:textId="4E86D217" w:rsidR="00A25592" w:rsidRPr="001420F5" w:rsidRDefault="00A25592" w:rsidP="00A25592">
      <w:pPr>
        <w:pStyle w:val="Heading2"/>
      </w:pPr>
      <w:r w:rsidRPr="001420F5">
        <w:t>viac zapojiť sociálnych partnerov, občiansku spoločnosť</w:t>
      </w:r>
      <w:r w:rsidR="001420F5">
        <w:t xml:space="preserve"> a </w:t>
      </w:r>
      <w:r w:rsidRPr="001420F5">
        <w:t>všetkých miestnych aktérov, aby sa</w:t>
      </w:r>
      <w:r w:rsidR="001420F5">
        <w:t xml:space="preserve"> v </w:t>
      </w:r>
      <w:r w:rsidRPr="001420F5">
        <w:t>politike súdržnosti zväčšila účinnosť zásady partnerstva</w:t>
      </w:r>
      <w:r w:rsidR="001420F5">
        <w:t xml:space="preserve"> a </w:t>
      </w:r>
      <w:r w:rsidRPr="001420F5">
        <w:t>viacúrovňového riadenia. Môže to pomôcť reagovať na tlak na demokraciu prevzatím väčšej zodpovednosti za politiku EÚ;</w:t>
      </w:r>
    </w:p>
    <w:p w14:paraId="10DA3F93" w14:textId="77777777" w:rsidR="00A25592" w:rsidRPr="001420F5" w:rsidRDefault="00A25592" w:rsidP="00A25592">
      <w:pPr>
        <w:pStyle w:val="ListParagraph"/>
        <w:ind w:left="567" w:hanging="567"/>
      </w:pPr>
    </w:p>
    <w:p w14:paraId="1FC59770" w14:textId="318DBF11" w:rsidR="00A25592" w:rsidRPr="001420F5" w:rsidRDefault="00A25592" w:rsidP="00A25592">
      <w:pPr>
        <w:pStyle w:val="Heading2"/>
      </w:pPr>
      <w:r w:rsidRPr="001420F5">
        <w:t>posilniť administratívne kapacity rôznych úrovní verejnej správy, príjemcov</w:t>
      </w:r>
      <w:r w:rsidR="001420F5">
        <w:t xml:space="preserve"> a </w:t>
      </w:r>
      <w:r w:rsidRPr="001420F5">
        <w:t>iných národných, regionálnych</w:t>
      </w:r>
      <w:r w:rsidR="001420F5">
        <w:t xml:space="preserve"> a </w:t>
      </w:r>
      <w:r w:rsidRPr="001420F5">
        <w:t>miestnych zainteresovaných strán</w:t>
      </w:r>
      <w:r w:rsidR="001420F5">
        <w:t xml:space="preserve"> a </w:t>
      </w:r>
      <w:r w:rsidRPr="001420F5">
        <w:t>poskytnúť prispôsobenejšiu technickú podporu na zlepšenie vykonávania politiky</w:t>
      </w:r>
      <w:r w:rsidR="001420F5">
        <w:t xml:space="preserve"> v </w:t>
      </w:r>
      <w:r w:rsidRPr="001420F5">
        <w:t>praxi;</w:t>
      </w:r>
    </w:p>
    <w:p w14:paraId="7A4F5D87" w14:textId="77777777" w:rsidR="00A25592" w:rsidRPr="001420F5" w:rsidRDefault="00A25592" w:rsidP="00A25592">
      <w:pPr>
        <w:pStyle w:val="Heading2"/>
        <w:numPr>
          <w:ilvl w:val="0"/>
          <w:numId w:val="0"/>
        </w:numPr>
        <w:ind w:left="567" w:hanging="567"/>
      </w:pPr>
    </w:p>
    <w:p w14:paraId="51C40CF0" w14:textId="5DE1F6CA" w:rsidR="00A25592" w:rsidRPr="001420F5" w:rsidRDefault="00A25592" w:rsidP="00A25592">
      <w:pPr>
        <w:pStyle w:val="Heading2"/>
      </w:pPr>
      <w:r w:rsidRPr="001420F5">
        <w:t>zohľadniť</w:t>
      </w:r>
      <w:r w:rsidR="001420F5">
        <w:t xml:space="preserve"> a </w:t>
      </w:r>
      <w:r w:rsidRPr="001420F5">
        <w:t>používať najlepšie postupy, účinné politické opatrenia</w:t>
      </w:r>
      <w:r w:rsidR="001420F5">
        <w:t xml:space="preserve"> a </w:t>
      </w:r>
      <w:r w:rsidRPr="001420F5">
        <w:t>konkrétne financovanie používané</w:t>
      </w:r>
      <w:r w:rsidR="001420F5">
        <w:t xml:space="preserve"> v </w:t>
      </w:r>
      <w:r w:rsidRPr="001420F5">
        <w:t>súčasnosti</w:t>
      </w:r>
      <w:r w:rsidR="001420F5">
        <w:t xml:space="preserve"> v </w:t>
      </w:r>
      <w:r w:rsidRPr="001420F5">
        <w:t>rámci Mechanizmu na podporu obnovy</w:t>
      </w:r>
      <w:r w:rsidR="001420F5">
        <w:t xml:space="preserve"> a </w:t>
      </w:r>
      <w:r w:rsidRPr="001420F5">
        <w:t>odolnosti,</w:t>
      </w:r>
      <w:r w:rsidR="001420F5">
        <w:t xml:space="preserve"> a </w:t>
      </w:r>
      <w:r w:rsidRPr="001420F5">
        <w:t>to tak, aby naďalej fungovali aj</w:t>
      </w:r>
      <w:r w:rsidR="001420F5">
        <w:t xml:space="preserve"> v </w:t>
      </w:r>
      <w:r w:rsidRPr="001420F5">
        <w:t>rámci novej politiky súdržnosti. Musíme zabezpečiť, aby využívanie finančných prostriedkov</w:t>
      </w:r>
      <w:r w:rsidR="001420F5">
        <w:t xml:space="preserve"> z </w:t>
      </w:r>
      <w:r w:rsidRPr="001420F5">
        <w:t>tohto mechanizmu zostalo úplne</w:t>
      </w:r>
      <w:r w:rsidR="001420F5">
        <w:t xml:space="preserve"> v </w:t>
      </w:r>
      <w:r w:rsidRPr="001420F5">
        <w:t>súlade</w:t>
      </w:r>
      <w:r w:rsidR="001420F5">
        <w:t xml:space="preserve"> s </w:t>
      </w:r>
      <w:r w:rsidRPr="001420F5">
        <w:t>vykonávaním budúcej politiky súdržnosti</w:t>
      </w:r>
      <w:r w:rsidR="001420F5">
        <w:t xml:space="preserve"> a </w:t>
      </w:r>
      <w:r w:rsidRPr="001420F5">
        <w:t>aby investície</w:t>
      </w:r>
      <w:r w:rsidR="001420F5">
        <w:t xml:space="preserve"> a </w:t>
      </w:r>
      <w:r w:rsidRPr="001420F5">
        <w:t>programy, ktoré sa už</w:t>
      </w:r>
      <w:r w:rsidR="001420F5">
        <w:t xml:space="preserve"> v </w:t>
      </w:r>
      <w:r w:rsidRPr="001420F5">
        <w:t>rámci neho začali, neboli pozastavené</w:t>
      </w:r>
      <w:r w:rsidR="001420F5">
        <w:t xml:space="preserve"> z </w:t>
      </w:r>
      <w:r w:rsidRPr="001420F5">
        <w:t>dôvodu zmien</w:t>
      </w:r>
      <w:r w:rsidR="001420F5">
        <w:t xml:space="preserve"> v </w:t>
      </w:r>
      <w:r w:rsidRPr="001420F5">
        <w:t>jeho financovaní;</w:t>
      </w:r>
    </w:p>
    <w:p w14:paraId="693127A1" w14:textId="77777777" w:rsidR="00A25592" w:rsidRPr="001420F5" w:rsidRDefault="00A25592" w:rsidP="00A25592">
      <w:pPr>
        <w:pStyle w:val="Heading2"/>
        <w:numPr>
          <w:ilvl w:val="0"/>
          <w:numId w:val="0"/>
        </w:numPr>
        <w:ind w:left="567" w:hanging="567"/>
      </w:pPr>
    </w:p>
    <w:p w14:paraId="055836A7" w14:textId="77777777" w:rsidR="001420F5" w:rsidRDefault="00A25592" w:rsidP="00A25592">
      <w:pPr>
        <w:pStyle w:val="Heading2"/>
      </w:pPr>
      <w:r w:rsidRPr="001420F5">
        <w:t>do väčšej miery začleniť ciele súdržnosti do európskeho semestra</w:t>
      </w:r>
      <w:r w:rsidR="001420F5">
        <w:t>;</w:t>
      </w:r>
    </w:p>
    <w:p w14:paraId="731A4A3D" w14:textId="592BEE0C" w:rsidR="00A25592" w:rsidRPr="001420F5" w:rsidRDefault="00A25592" w:rsidP="00A25592">
      <w:pPr>
        <w:pStyle w:val="Heading2"/>
        <w:numPr>
          <w:ilvl w:val="0"/>
          <w:numId w:val="0"/>
        </w:numPr>
        <w:ind w:left="567" w:hanging="567"/>
      </w:pPr>
    </w:p>
    <w:p w14:paraId="529F0623" w14:textId="651AD1B9" w:rsidR="00A25592" w:rsidRPr="001420F5" w:rsidRDefault="00A25592" w:rsidP="00A25592">
      <w:pPr>
        <w:pStyle w:val="Heading2"/>
      </w:pPr>
      <w:r w:rsidRPr="001420F5">
        <w:t>navrhnúť pre viacročný finančný rámec ambicióznejší celkový rozpočet</w:t>
      </w:r>
      <w:r w:rsidR="001420F5">
        <w:t xml:space="preserve"> a </w:t>
      </w:r>
      <w:r w:rsidRPr="001420F5">
        <w:t>zabezpečiť primerané financovanie politiky súdržnosti,</w:t>
      </w:r>
      <w:r w:rsidR="001420F5">
        <w:t xml:space="preserve"> a </w:t>
      </w:r>
      <w:r w:rsidRPr="001420F5">
        <w:t>to aj vzhľadom na budúce potreby EÚ</w:t>
      </w:r>
      <w:r w:rsidR="001420F5">
        <w:t xml:space="preserve"> z </w:t>
      </w:r>
      <w:r w:rsidRPr="001420F5">
        <w:t>hľadiska investícií do obrany</w:t>
      </w:r>
      <w:r w:rsidR="001420F5">
        <w:t xml:space="preserve"> a </w:t>
      </w:r>
      <w:r w:rsidRPr="001420F5">
        <w:t>so zreteľom na rozširovanie EÚ na viac ako 27</w:t>
      </w:r>
      <w:r w:rsidR="001420F5">
        <w:t> </w:t>
      </w:r>
      <w:r w:rsidRPr="001420F5">
        <w:t>krajín. Investovať do EÚ</w:t>
      </w:r>
      <w:r w:rsidR="001420F5">
        <w:t xml:space="preserve"> a </w:t>
      </w:r>
      <w:r w:rsidRPr="001420F5">
        <w:t>jej hospodárskej, sociálnej</w:t>
      </w:r>
      <w:r w:rsidR="001420F5">
        <w:t xml:space="preserve"> a </w:t>
      </w:r>
      <w:r w:rsidRPr="001420F5">
        <w:t>územnej súdržnosti, bohatstva</w:t>
      </w:r>
      <w:r w:rsidR="001420F5">
        <w:t xml:space="preserve"> a </w:t>
      </w:r>
      <w:r w:rsidRPr="001420F5">
        <w:t>konkurencieschopnosti len 1</w:t>
      </w:r>
      <w:r w:rsidR="001420F5">
        <w:t> % </w:t>
      </w:r>
      <w:r w:rsidRPr="001420F5">
        <w:t>HND EÚ nebude stačiť;</w:t>
      </w:r>
    </w:p>
    <w:p w14:paraId="39BB4FD8" w14:textId="77777777" w:rsidR="00A25592" w:rsidRPr="001420F5" w:rsidRDefault="00A25592" w:rsidP="00A25592">
      <w:pPr>
        <w:pStyle w:val="Heading2"/>
        <w:numPr>
          <w:ilvl w:val="0"/>
          <w:numId w:val="0"/>
        </w:numPr>
        <w:ind w:left="567" w:hanging="567"/>
      </w:pPr>
    </w:p>
    <w:p w14:paraId="61F2F738" w14:textId="1B92DC29" w:rsidR="00A25592" w:rsidRPr="001420F5" w:rsidRDefault="00A25592" w:rsidP="00A25592">
      <w:pPr>
        <w:pStyle w:val="Heading2"/>
      </w:pPr>
      <w:r w:rsidRPr="001420F5">
        <w:t>vzhľadom na budúce rozšírenia zvážiť primerané financovanie na nasledujúce programové obdobie, aby sa zaručila bezproblémová integrácia budúcich členských štátov</w:t>
      </w:r>
      <w:r w:rsidR="001420F5">
        <w:t xml:space="preserve"> a </w:t>
      </w:r>
      <w:r w:rsidRPr="001420F5">
        <w:t>neohrozili investície do súčasných rozvojových regiónov.</w:t>
      </w:r>
    </w:p>
    <w:p w14:paraId="410312CF" w14:textId="77777777" w:rsidR="00A25592" w:rsidRPr="001420F5" w:rsidRDefault="00A25592" w:rsidP="00A25592">
      <w:pPr>
        <w:pStyle w:val="ListParagraph"/>
        <w:ind w:left="567" w:hanging="567"/>
      </w:pPr>
    </w:p>
    <w:p w14:paraId="2DF56585" w14:textId="731D496C" w:rsidR="00A25592" w:rsidRPr="001420F5" w:rsidRDefault="00A25592" w:rsidP="00A25592">
      <w:pPr>
        <w:pStyle w:val="Heading1"/>
        <w:keepNext/>
        <w:keepLines/>
        <w:rPr>
          <w:b/>
          <w:bCs/>
        </w:rPr>
      </w:pPr>
      <w:r w:rsidRPr="001420F5">
        <w:rPr>
          <w:b/>
        </w:rPr>
        <w:t>Ako zástupcovia občianskej spoločnosti urobíme všetko preto, aby sa zachovali základné zásady politiky súdržnosti</w:t>
      </w:r>
      <w:r w:rsidR="001420F5">
        <w:rPr>
          <w:b/>
        </w:rPr>
        <w:t xml:space="preserve"> a </w:t>
      </w:r>
      <w:r w:rsidRPr="001420F5">
        <w:rPr>
          <w:b/>
        </w:rPr>
        <w:t>aby táto politika zostala prvkom, ktorý udržiava jednotu Európy.</w:t>
      </w:r>
    </w:p>
    <w:p w14:paraId="3A445C62" w14:textId="77777777" w:rsidR="00A25592" w:rsidRPr="001420F5" w:rsidRDefault="00A25592" w:rsidP="00A25592">
      <w:pPr>
        <w:keepNext/>
        <w:keepLines/>
        <w:ind w:left="567" w:hanging="567"/>
      </w:pPr>
    </w:p>
    <w:p w14:paraId="6B98F6DD" w14:textId="16465ACB" w:rsidR="00A25592" w:rsidRPr="001420F5" w:rsidRDefault="00A25592" w:rsidP="00A25592">
      <w:pPr>
        <w:keepNext/>
        <w:keepLines/>
      </w:pPr>
      <w:r w:rsidRPr="001420F5">
        <w:t>V</w:t>
      </w:r>
      <w:r w:rsidR="001420F5">
        <w:t> </w:t>
      </w:r>
      <w:r w:rsidRPr="001420F5">
        <w:t>Bruseli 11</w:t>
      </w:r>
      <w:r w:rsidR="001420F5">
        <w:t>. júla</w:t>
      </w:r>
      <w:r w:rsidRPr="001420F5">
        <w:t xml:space="preserve"> 2024</w:t>
      </w:r>
    </w:p>
    <w:p w14:paraId="66435F43" w14:textId="77777777" w:rsidR="00901B76" w:rsidRPr="001420F5" w:rsidRDefault="00901B76" w:rsidP="00672B2A"/>
    <w:p w14:paraId="41AA8B98" w14:textId="77777777" w:rsidR="00901B76" w:rsidRPr="001420F5" w:rsidRDefault="00901B76" w:rsidP="00901B76"/>
    <w:p w14:paraId="46BA2288" w14:textId="41A07DEB" w:rsidR="00901B76" w:rsidRPr="001420F5" w:rsidRDefault="00901B76" w:rsidP="00901B76">
      <w:pPr>
        <w:rPr>
          <w:i/>
          <w:iCs/>
        </w:rPr>
      </w:pPr>
      <w:r w:rsidRPr="001420F5">
        <w:rPr>
          <w:i/>
        </w:rPr>
        <w:t>Predseda Európskeho hospodárskeho</w:t>
      </w:r>
      <w:r w:rsidR="001420F5">
        <w:rPr>
          <w:i/>
        </w:rPr>
        <w:t xml:space="preserve"> a </w:t>
      </w:r>
      <w:r w:rsidRPr="001420F5">
        <w:rPr>
          <w:i/>
        </w:rPr>
        <w:t>sociálneho výboru</w:t>
      </w:r>
    </w:p>
    <w:p w14:paraId="6DCB8CDA" w14:textId="77777777" w:rsidR="00901B76" w:rsidRPr="001420F5" w:rsidRDefault="00F47BD2" w:rsidP="00901B76">
      <w:r w:rsidRPr="001420F5">
        <w:t>Oliver RÖPKE</w:t>
      </w:r>
    </w:p>
    <w:p w14:paraId="34E7720B" w14:textId="77777777" w:rsidR="00F53370" w:rsidRPr="001420F5" w:rsidRDefault="00901B76">
      <w:pPr>
        <w:jc w:val="center"/>
      </w:pPr>
      <w:r w:rsidRPr="001420F5">
        <w:t>_____________</w:t>
      </w:r>
    </w:p>
    <w:sectPr w:rsidR="00F53370" w:rsidRPr="001420F5" w:rsidSect="009B091D">
      <w:headerReference w:type="default" r:id="rId18"/>
      <w:footerReference w:type="default" r:id="rId19"/>
      <w:pgSz w:w="11907" w:h="16839" w:code="9"/>
      <w:pgMar w:top="1304" w:right="1418" w:bottom="1304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C000" w14:textId="77777777" w:rsidR="007C540D" w:rsidRDefault="007C540D" w:rsidP="00F53370">
      <w:pPr>
        <w:spacing w:line="240" w:lineRule="auto"/>
      </w:pPr>
      <w:r>
        <w:separator/>
      </w:r>
    </w:p>
  </w:endnote>
  <w:endnote w:type="continuationSeparator" w:id="0">
    <w:p w14:paraId="54792995" w14:textId="77777777" w:rsidR="007C540D" w:rsidRDefault="007C540D" w:rsidP="00F5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4090" w14:textId="77777777" w:rsidR="00574C9B" w:rsidRDefault="00574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82B2" w14:textId="49BB6C42" w:rsidR="0084105C" w:rsidRPr="003065C9" w:rsidRDefault="00C6634B" w:rsidP="00C6634B">
    <w:pPr>
      <w:pStyle w:val="Footer"/>
      <w:jc w:val="left"/>
    </w:pPr>
    <w:r>
      <w:t xml:space="preserve">ECO/650 – EESC-2024-02528-00-00-RES-TRA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87157E">
        <w:rPr>
          <w:noProof/>
        </w:rPr>
        <w:instrText>5</w:instrText>
      </w:r>
    </w:fldSimple>
    <w:r>
      <w:instrText xml:space="preserve"> - 2 </w:instrText>
    </w:r>
    <w:r>
      <w:fldChar w:fldCharType="separate"/>
    </w:r>
    <w:r w:rsidR="0087157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1A96" w14:textId="77777777" w:rsidR="007C540D" w:rsidRDefault="007C540D" w:rsidP="00F53370">
      <w:pPr>
        <w:spacing w:line="240" w:lineRule="auto"/>
      </w:pPr>
      <w:r>
        <w:separator/>
      </w:r>
    </w:p>
  </w:footnote>
  <w:footnote w:type="continuationSeparator" w:id="0">
    <w:p w14:paraId="3FE068D6" w14:textId="77777777" w:rsidR="007C540D" w:rsidRDefault="007C540D" w:rsidP="00F53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618F" w14:textId="77777777" w:rsidR="00574C9B" w:rsidRDefault="0087157E">
    <w:pPr>
      <w:pStyle w:val="Header"/>
    </w:pPr>
    <w:r>
      <w:pict w14:anchorId="551008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6" o:spid="_x0000_s2060" type="#_x0000_t75" style="position:absolute;left:0;text-align:left;margin-left:0;margin-top:0;width:595.2pt;height:841.9pt;z-index:-251649024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1338" w14:textId="3E409ECE" w:rsidR="00574C9B" w:rsidRDefault="001420F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398E122" wp14:editId="025F73D2">
          <wp:simplePos x="898497" y="453224"/>
          <wp:positionH relativeFrom="page">
            <wp:align>center</wp:align>
          </wp:positionH>
          <wp:positionV relativeFrom="page">
            <wp:posOffset>288290</wp:posOffset>
          </wp:positionV>
          <wp:extent cx="6944360" cy="3343910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98" cy="334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57E">
      <w:pict w14:anchorId="632CA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7" o:spid="_x0000_s2061" type="#_x0000_t75" style="position:absolute;left:0;text-align:left;margin-left:0;margin-top:0;width:595.2pt;height:841.9pt;z-index:-251648000;mso-position-horizontal:center;mso-position-horizontal-relative:page;mso-position-vertical:top;mso-position-vertical-relative:page" o:allowincell="f">
          <v:imagedata r:id="rId2" o:title="footer only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7CE3" w14:textId="77777777" w:rsidR="00574C9B" w:rsidRDefault="0087157E">
    <w:pPr>
      <w:pStyle w:val="Header"/>
    </w:pPr>
    <w:r>
      <w:pict w14:anchorId="69A52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5" o:spid="_x0000_s2059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A383" w14:textId="77777777" w:rsidR="00574C9B" w:rsidRDefault="0087157E">
    <w:pPr>
      <w:pStyle w:val="Header"/>
    </w:pPr>
    <w:r>
      <w:pict w14:anchorId="0005A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9" o:spid="_x0000_s2063" type="#_x0000_t75" style="position:absolute;left:0;text-align:left;margin-left:0;margin-top:0;width:595.2pt;height:841.9pt;z-index:-251645952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1077" w14:textId="77777777" w:rsidR="00574C9B" w:rsidRDefault="0087157E">
    <w:pPr>
      <w:pStyle w:val="Header"/>
    </w:pPr>
    <w:r>
      <w:pict w14:anchorId="73566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20" o:spid="_x0000_s2064" type="#_x0000_t75" style="position:absolute;left:0;text-align:left;margin-left:0;margin-top:0;width:595.2pt;height:841.9pt;z-index:-251644928;visibility:hidden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  <w:r w:rsidR="00F434DD">
      <w:rPr>
        <w:noProof/>
      </w:rPr>
      <w:drawing>
        <wp:anchor distT="0" distB="0" distL="114300" distR="114300" simplePos="0" relativeHeight="251662336" behindDoc="1" locked="0" layoutInCell="1" allowOverlap="1" wp14:anchorId="55A47E20" wp14:editId="228766D2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5F35" w14:textId="77777777" w:rsidR="00574C9B" w:rsidRDefault="0087157E">
    <w:pPr>
      <w:pStyle w:val="Header"/>
    </w:pPr>
    <w:r>
      <w:pict w14:anchorId="3F804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8" o:spid="_x0000_s2062" type="#_x0000_t75" style="position:absolute;left:0;text-align:left;margin-left:0;margin-top:0;width:595.2pt;height:841.9pt;z-index:-251646976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9701" w14:textId="77777777" w:rsidR="00FA08F8" w:rsidRDefault="00871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DCE01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70"/>
    <w:rsid w:val="00020389"/>
    <w:rsid w:val="00053D00"/>
    <w:rsid w:val="000A0F3B"/>
    <w:rsid w:val="000A6002"/>
    <w:rsid w:val="00126F55"/>
    <w:rsid w:val="001420F5"/>
    <w:rsid w:val="0019231D"/>
    <w:rsid w:val="001955B6"/>
    <w:rsid w:val="001C5167"/>
    <w:rsid w:val="001D61AC"/>
    <w:rsid w:val="001E15AA"/>
    <w:rsid w:val="001E2A9E"/>
    <w:rsid w:val="001E3FA1"/>
    <w:rsid w:val="00200E87"/>
    <w:rsid w:val="002039C3"/>
    <w:rsid w:val="00206D14"/>
    <w:rsid w:val="00214BDC"/>
    <w:rsid w:val="00215E81"/>
    <w:rsid w:val="0024727F"/>
    <w:rsid w:val="002B6A7B"/>
    <w:rsid w:val="00316392"/>
    <w:rsid w:val="003353D7"/>
    <w:rsid w:val="003659F9"/>
    <w:rsid w:val="003D50B8"/>
    <w:rsid w:val="00401DE5"/>
    <w:rsid w:val="00442FFF"/>
    <w:rsid w:val="00481540"/>
    <w:rsid w:val="004871B8"/>
    <w:rsid w:val="004B478F"/>
    <w:rsid w:val="005127DA"/>
    <w:rsid w:val="00574C9B"/>
    <w:rsid w:val="0058411F"/>
    <w:rsid w:val="005961A4"/>
    <w:rsid w:val="005F19D0"/>
    <w:rsid w:val="006125A1"/>
    <w:rsid w:val="00653E7D"/>
    <w:rsid w:val="00662207"/>
    <w:rsid w:val="00667F09"/>
    <w:rsid w:val="00672B2A"/>
    <w:rsid w:val="006B57A6"/>
    <w:rsid w:val="006D40F9"/>
    <w:rsid w:val="006D53A6"/>
    <w:rsid w:val="00787837"/>
    <w:rsid w:val="00787ABB"/>
    <w:rsid w:val="007B6C64"/>
    <w:rsid w:val="007C540D"/>
    <w:rsid w:val="00822952"/>
    <w:rsid w:val="00836505"/>
    <w:rsid w:val="00844B87"/>
    <w:rsid w:val="0087157E"/>
    <w:rsid w:val="0089251B"/>
    <w:rsid w:val="008A6DD4"/>
    <w:rsid w:val="008F74D7"/>
    <w:rsid w:val="00901B76"/>
    <w:rsid w:val="00904C42"/>
    <w:rsid w:val="00914683"/>
    <w:rsid w:val="00924C05"/>
    <w:rsid w:val="00937CF2"/>
    <w:rsid w:val="00976645"/>
    <w:rsid w:val="00976F77"/>
    <w:rsid w:val="0098228C"/>
    <w:rsid w:val="009A03EB"/>
    <w:rsid w:val="009A3190"/>
    <w:rsid w:val="009B091D"/>
    <w:rsid w:val="009E2100"/>
    <w:rsid w:val="00A15C10"/>
    <w:rsid w:val="00A25592"/>
    <w:rsid w:val="00A310E1"/>
    <w:rsid w:val="00A36AB0"/>
    <w:rsid w:val="00AB37A3"/>
    <w:rsid w:val="00AC5114"/>
    <w:rsid w:val="00AF5F43"/>
    <w:rsid w:val="00B022DD"/>
    <w:rsid w:val="00B25683"/>
    <w:rsid w:val="00B51901"/>
    <w:rsid w:val="00BD50F6"/>
    <w:rsid w:val="00C073E1"/>
    <w:rsid w:val="00C2306C"/>
    <w:rsid w:val="00C25647"/>
    <w:rsid w:val="00C6634B"/>
    <w:rsid w:val="00C6695F"/>
    <w:rsid w:val="00C66AEA"/>
    <w:rsid w:val="00C9040A"/>
    <w:rsid w:val="00C91E4D"/>
    <w:rsid w:val="00C97300"/>
    <w:rsid w:val="00CB110A"/>
    <w:rsid w:val="00CB7CD0"/>
    <w:rsid w:val="00CD403A"/>
    <w:rsid w:val="00CE4363"/>
    <w:rsid w:val="00D039AF"/>
    <w:rsid w:val="00D4086D"/>
    <w:rsid w:val="00D95232"/>
    <w:rsid w:val="00DA1320"/>
    <w:rsid w:val="00DB7F50"/>
    <w:rsid w:val="00DE30C7"/>
    <w:rsid w:val="00DF400F"/>
    <w:rsid w:val="00DF7334"/>
    <w:rsid w:val="00E15BF4"/>
    <w:rsid w:val="00E2376B"/>
    <w:rsid w:val="00E26935"/>
    <w:rsid w:val="00E27707"/>
    <w:rsid w:val="00E52B04"/>
    <w:rsid w:val="00E661B7"/>
    <w:rsid w:val="00EC315D"/>
    <w:rsid w:val="00F10276"/>
    <w:rsid w:val="00F2069F"/>
    <w:rsid w:val="00F43068"/>
    <w:rsid w:val="00F434DD"/>
    <w:rsid w:val="00F47BD2"/>
    <w:rsid w:val="00F53370"/>
    <w:rsid w:val="00F90BE2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6C29AD4A"/>
  <w15:chartTrackingRefBased/>
  <w15:docId w15:val="{D381F634-0C15-4454-8DBD-75C4E8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9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33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533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33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33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533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33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33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3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533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533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533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533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533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533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533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533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533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53370"/>
  </w:style>
  <w:style w:type="character" w:customStyle="1" w:styleId="FooterChar">
    <w:name w:val="Footer Char"/>
    <w:basedOn w:val="DefaultParagraphFont"/>
    <w:link w:val="Footer"/>
    <w:rsid w:val="00F53370"/>
    <w:rPr>
      <w:rFonts w:ascii="Times New Roman" w:eastAsia="Times New Roman" w:hAnsi="Times New Roman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"/>
    <w:link w:val="FootnoteTextChar"/>
    <w:qFormat/>
    <w:rsid w:val="00F533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rsid w:val="00F533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53370"/>
  </w:style>
  <w:style w:type="character" w:customStyle="1" w:styleId="HeaderChar">
    <w:name w:val="Header Char"/>
    <w:basedOn w:val="DefaultParagraphFont"/>
    <w:link w:val="Header"/>
    <w:rsid w:val="00F533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53370"/>
    <w:pPr>
      <w:ind w:left="720"/>
    </w:pPr>
    <w:rPr>
      <w:i/>
    </w:rPr>
  </w:style>
  <w:style w:type="character" w:styleId="FootnoteReference">
    <w:name w:val="footnote reference"/>
    <w:aliases w:val="Footnote symbol"/>
    <w:basedOn w:val="DefaultParagraphFont"/>
    <w:unhideWhenUsed/>
    <w:qFormat/>
    <w:rsid w:val="00F53370"/>
    <w:rPr>
      <w:sz w:val="24"/>
      <w:vertAlign w:val="superscript"/>
    </w:rPr>
  </w:style>
  <w:style w:type="table" w:styleId="TableGrid">
    <w:name w:val="Table Grid"/>
    <w:basedOn w:val="TableNormal"/>
    <w:uiPriority w:val="39"/>
    <w:rsid w:val="00F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6D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F7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7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77"/>
    <w:rPr>
      <w:rFonts w:ascii="Segoe UI" w:eastAsia="Times New Roman" w:hAnsi="Segoe U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ce41b-6786-4ce3-be71-52c27066c6ef">F7M6YNZUATRX-789077548-2852</_dlc_DocId>
    <_dlc_DocIdUrl xmlns="59ace41b-6786-4ce3-be71-52c27066c6ef">
      <Url>http://dm/eesc/2024/_layouts/15/DocIdRedir.aspx?ID=F7M6YNZUATRX-789077548-2852</Url>
      <Description>F7M6YNZUATRX-789077548-2852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59ace41b-6786-4ce3-be71-52c27066c6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9ace41b-6786-4ce3-be71-52c27066c6ef">2024-07-12T12:00:00+00:00</ProductionDate>
    <DocumentNumber xmlns="36007a90-28ab-40da-967b-595e4ec83007">2528</DocumentNumber>
    <FicheYear xmlns="59ace41b-6786-4ce3-be71-52c27066c6ef" xsi:nil="true"/>
    <DossierNumber xmlns="59ace41b-6786-4ce3-be71-52c27066c6ef">650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9ace41b-6786-4ce3-be71-52c27066c6ef" xsi:nil="true"/>
    <TaxCatchAll xmlns="59ace41b-6786-4ce3-be71-52c27066c6ef">
      <Value>162</Value>
      <Value>66</Value>
      <Value>43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21</Value>
      <Value>17</Value>
      <Value>16</Value>
      <Value>14</Value>
      <Value>12</Value>
      <Value>8</Value>
      <Value>6</Value>
      <Value>5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Rapporteur xmlns="59ace41b-6786-4ce3-be71-52c27066c6ef">VARDAKASTANIS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59ace41b-6786-4ce3-be71-52c27066c6ef">2024</DocumentYear>
    <FicheNumber xmlns="59ace41b-6786-4ce3-be71-52c27066c6ef">7051</FicheNumber>
    <OriginalSender xmlns="59ace41b-6786-4ce3-be71-52c27066c6ef">
      <UserInfo>
        <DisplayName>Bubelova Tatiana</DisplayName>
        <AccountId>1612</AccountId>
        <AccountType/>
      </UserInfo>
    </OriginalSender>
    <DocumentPart xmlns="59ace41b-6786-4ce3-be71-52c27066c6ef">0</DocumentPart>
    <AdoptionDate xmlns="59ace41b-6786-4ce3-be71-52c27066c6ef">2024-07-10T12:00:00+00:00</AdoptionDate>
    <RequestingService xmlns="59ace41b-6786-4ce3-be71-52c27066c6ef">Union économique et monétaire et cohésion économique et sociale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36007a90-28ab-40da-967b-595e4ec83007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</TermName>
          <TermId xmlns="http://schemas.microsoft.com/office/infopath/2007/PartnerControls">8df351f5-c957-404c-8cf3-8ffb22c9cba2</TermId>
        </TermInfo>
      </Terms>
    </DossierName_0>
    <DocumentVersion xmlns="59ace41b-6786-4ce3-be71-52c27066c6ef">0</DocumentVers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9C698F2971CE54890F427AFE3EB568F" ma:contentTypeVersion="4" ma:contentTypeDescription="Defines the documents for Document Manager V2" ma:contentTypeScope="" ma:versionID="1ede4366cc334d81186bb4f7d46e0bfd">
  <xsd:schema xmlns:xsd="http://www.w3.org/2001/XMLSchema" xmlns:xs="http://www.w3.org/2001/XMLSchema" xmlns:p="http://schemas.microsoft.com/office/2006/metadata/properties" xmlns:ns2="59ace41b-6786-4ce3-be71-52c27066c6ef" xmlns:ns3="http://schemas.microsoft.com/sharepoint/v3/fields" xmlns:ns4="36007a90-28ab-40da-967b-595e4ec83007" targetNamespace="http://schemas.microsoft.com/office/2006/metadata/properties" ma:root="true" ma:fieldsID="793bace539ab1b60d443041a34a09cc2" ns2:_="" ns3:_="" ns4:_="">
    <xsd:import namespace="59ace41b-6786-4ce3-be71-52c27066c6ef"/>
    <xsd:import namespace="http://schemas.microsoft.com/sharepoint/v3/fields"/>
    <xsd:import namespace="36007a90-28ab-40da-967b-595e4ec830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e41b-6786-4ce3-be71-52c27066c6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2fb5ba9-5e53-4066-9f9c-cd35b339bd62}" ma:internalName="TaxCatchAll" ma:showField="CatchAllData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2fb5ba9-5e53-4066-9f9c-cd35b339bd62}" ma:internalName="TaxCatchAllLabel" ma:readOnly="true" ma:showField="CatchAllDataLabel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7a90-28ab-40da-967b-595e4ec8300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EFB35-5E35-4C3A-8104-4141900C7866}">
  <ds:schemaRefs>
    <ds:schemaRef ds:uri="http://schemas.microsoft.com/office/2006/metadata/properties"/>
    <ds:schemaRef ds:uri="http://schemas.microsoft.com/office/infopath/2007/PartnerControls"/>
    <ds:schemaRef ds:uri="59ace41b-6786-4ce3-be71-52c27066c6ef"/>
    <ds:schemaRef ds:uri="http://schemas.microsoft.com/sharepoint/v3/fields"/>
    <ds:schemaRef ds:uri="36007a90-28ab-40da-967b-595e4ec83007"/>
  </ds:schemaRefs>
</ds:datastoreItem>
</file>

<file path=customXml/itemProps2.xml><?xml version="1.0" encoding="utf-8"?>
<ds:datastoreItem xmlns:ds="http://schemas.openxmlformats.org/officeDocument/2006/customXml" ds:itemID="{4D23F280-6157-44DB-9E0B-E8C0088F79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4496DA-3B33-4D71-A6D6-C29ECBAD02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847BF-7566-481A-9A3A-2D0C2A130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ce41b-6786-4ce3-be71-52c27066c6ef"/>
    <ds:schemaRef ds:uri="http://schemas.microsoft.com/sharepoint/v3/fields"/>
    <ds:schemaRef ds:uri="36007a90-28ab-40da-967b-595e4ec83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1349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AC-Cover page - Opinion Committee - EESC revised model</vt:lpstr>
    </vt:vector>
  </TitlesOfParts>
  <Company>CESE-CdR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ECO/650 - Na nikoho by sa nemalo zabúdať. Za inkluzívnu a participatívnu politiku súdržnosti na podporu sociálnej, hospodárskej a územnej súdržnosti</dc:title>
  <dc:subject>RES</dc:subject>
  <dc:creator>Francois Aude</dc:creator>
  <cp:keywords>EESC-2024-02528-00-00-RES-TRA-EN</cp:keywords>
  <dc:description>Rapporteur: VARDAKASTANIS - Original language: EN - Date of document: 12-07-2024 - Date of meeting:  - External documents:  - Administrator:  MELEAS Georgios</dc:description>
  <cp:lastModifiedBy>Zaccheddu Raffaella</cp:lastModifiedBy>
  <cp:revision>2</cp:revision>
  <dcterms:created xsi:type="dcterms:W3CDTF">2024-07-16T07:42:00Z</dcterms:created>
  <dcterms:modified xsi:type="dcterms:W3CDTF">2024-07-16T07:42:00Z</dcterms:modified>
  <cp:category>ECO/650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11/07/2024, 11/07/2024, 12/04/2024, 17/05/2022</vt:lpwstr>
  </property>
  <property fmtid="{D5CDD505-2E9C-101B-9397-08002B2CF9AE}" pid="4" name="Pref_Time">
    <vt:lpwstr>14:38:50, 13:29:52, 12:01:57, 14:58:36</vt:lpwstr>
  </property>
  <property fmtid="{D5CDD505-2E9C-101B-9397-08002B2CF9AE}" pid="5" name="Pref_User">
    <vt:lpwstr>amett, amett, enied, enied</vt:lpwstr>
  </property>
  <property fmtid="{D5CDD505-2E9C-101B-9397-08002B2CF9AE}" pid="6" name="Pref_FileName">
    <vt:lpwstr>EESC-2024-02528-00-00-RES-TRA-EN-CRR.docx, eesc-2024-02528-00-00-res-ori (1).docx, COR-EESC-2024-01326-16-00-ADMIN-ORI.docx, COR-EESC-2022-02592-00-00-ADMIN-ORI.docx</vt:lpwstr>
  </property>
  <property fmtid="{D5CDD505-2E9C-101B-9397-08002B2CF9AE}" pid="7" name="ContentTypeId">
    <vt:lpwstr>0x010100EA97B91038054C99906057A708A1480A00C9C698F2971CE54890F427AFE3EB568F</vt:lpwstr>
  </property>
  <property fmtid="{D5CDD505-2E9C-101B-9397-08002B2CF9AE}" pid="8" name="_dlc_DocIdItemGuid">
    <vt:lpwstr>2a3a82a3-4bbc-43e8-8713-52cc2b38d5a7</vt:lpwstr>
  </property>
  <property fmtid="{D5CDD505-2E9C-101B-9397-08002B2CF9AE}" pid="9" name="AvailableTranslations">
    <vt:lpwstr>43;#CS|72f9705b-0217-4fd3-bea2-cbc7ed80e26e;#32;#HU|6b229040-c589-4408-b4c1-4285663d20a8;#35;#FI|87606a43-d45f-42d6-b8c9-e1a3457db5b7;#16;#DA|5d49c027-8956-412b-aa16-e85a0f96ad0e;#25;#DE|f6b31e5a-26fa-4935-b661-318e46daf27e;#28;#LV|46f7e311-5d9f-4663-b433-18aeccb7ace7;#30;#HR|2f555653-ed1a-4fe6-8362-9082d95989e5;#26;#SK|46d9fce0-ef79-4f71-b89b-cd6aa82426b8;#37;#RO|feb747a2-64cd-4299-af12-4833ddc30497;#27;#SL|98a412ae-eb01-49e9-ae3d-585a81724cfc;#17;#PL|1e03da61-4678-4e07-b136-b5024ca9197b;#22;#BG|1a1b3951-7821-4e6a-85f5-5673fc08bd2c;#31;#NL|55c6556c-b4f4-441d-9acf-c498d4f838bd;#34;#LT|a7ff5ce7-6123-4f68-865a-a57c31810414;#24;#ES|e7a6b05b-ae16-40c8-add9-68b64b03aeba;#21;#SV|c2ed69e7-a339-43d7-8f22-d93680a92aa0;#23;#MT|7df99101-6854-4a26-b53a-b88c0da02c26;#14;#FR|d2afafd3-4c81-4f60-8f52-ee33f2f54ff3;#5;#EN|f2175f21-25d7-44a3-96da-d6a61b075e1b;#36;#PT|50ccc04a-eadd-42ae-a0cb-acaf45f812ba;#29;#EL|6d4f4d51-af9b-4650-94b4-4276bee85c91;#33;#ET|ff6c3f4c-b02c-4c3c-ab07-2c37995a7a0a;#12;#IT|0774613c-01ed-4e5d-a25d-11d2388de825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>ECO|8df351f5-c957-404c-8cf3-8ffb22c9cba2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2528</vt:i4>
  </property>
  <property fmtid="{D5CDD505-2E9C-101B-9397-08002B2CF9AE}" pid="14" name="DocumentVersion">
    <vt:i4>0</vt:i4>
  </property>
  <property fmtid="{D5CDD505-2E9C-101B-9397-08002B2CF9AE}" pid="15" name="DossierNumber">
    <vt:i4>650</vt:i4>
  </property>
  <property fmtid="{D5CDD505-2E9C-101B-9397-08002B2CF9AE}" pid="16" name="DocumentStatus">
    <vt:lpwstr>3;#TRA|150d2a88-1431-44e6-a8ca-0bb753ab8672</vt:lpwstr>
  </property>
  <property fmtid="{D5CDD505-2E9C-101B-9397-08002B2CF9AE}" pid="17" name="DossierName">
    <vt:lpwstr>66;#ECO|8df351f5-c957-404c-8cf3-8ffb22c9cba2</vt:lpwstr>
  </property>
  <property fmtid="{D5CDD505-2E9C-101B-9397-08002B2CF9AE}" pid="18" name="RequestingService">
    <vt:lpwstr>Union économique et monétaire et cohésion économique et sociale</vt:lpwstr>
  </property>
  <property fmtid="{D5CDD505-2E9C-101B-9397-08002B2CF9AE}" pid="19" name="Confidentiality">
    <vt:lpwstr>6;#Unrestricted|826e22d7-d029-4ec0-a450-0c28ff673572</vt:lpwstr>
  </property>
  <property fmtid="{D5CDD505-2E9C-101B-9397-08002B2CF9AE}" pid="20" name="MeetingName_0">
    <vt:lpwstr/>
  </property>
  <property fmtid="{D5CDD505-2E9C-101B-9397-08002B2CF9AE}" pid="21" name="Confidentiality_0">
    <vt:lpwstr>Unrestricted|826e22d7-d029-4ec0-a450-0c28ff673572</vt:lpwstr>
  </property>
  <property fmtid="{D5CDD505-2E9C-101B-9397-08002B2CF9AE}" pid="22" name="OriginalLanguage">
    <vt:lpwstr>5;#EN|f2175f21-25d7-44a3-96da-d6a61b075e1b</vt:lpwstr>
  </property>
  <property fmtid="{D5CDD505-2E9C-101B-9397-08002B2CF9AE}" pid="23" name="MeetingName">
    <vt:lpwstr/>
  </property>
  <property fmtid="{D5CDD505-2E9C-101B-9397-08002B2CF9AE}" pid="24" name="AvailableTranslations_0">
    <vt:lpwstr>CS|72f9705b-0217-4fd3-bea2-cbc7ed80e26e;HU|6b229040-c589-4408-b4c1-4285663d20a8;FI|87606a43-d45f-42d6-b8c9-e1a3457db5b7;DA|5d49c027-8956-412b-aa16-e85a0f96ad0e;DE|f6b31e5a-26fa-4935-b661-318e46daf27e;LV|46f7e311-5d9f-4663-b433-18aeccb7ace7;SL|98a412ae-eb01-49e9-ae3d-585a81724cfc;PL|1e03da61-4678-4e07-b136-b5024ca9197b;BG|1a1b3951-7821-4e6a-85f5-5673fc08bd2c;NL|55c6556c-b4f4-441d-9acf-c498d4f838bd;LT|a7ff5ce7-6123-4f68-865a-a57c31810414;SV|c2ed69e7-a339-43d7-8f22-d93680a92aa0;MT|7df99101-6854-4a26-b53a-b88c0da02c26;FR|d2afafd3-4c81-4f60-8f52-ee33f2f54ff3;EN|f2175f21-25d7-44a3-96da-d6a61b075e1b;PT|50ccc04a-eadd-42ae-a0cb-acaf45f812ba;EL|6d4f4d51-af9b-4650-94b4-4276bee85c91;IT|0774613c-01ed-4e5d-a25d-11d2388de825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EN|f2175f21-25d7-44a3-96da-d6a61b075e1b</vt:lpwstr>
  </property>
  <property fmtid="{D5CDD505-2E9C-101B-9397-08002B2CF9AE}" pid="27" name="TaxCatchAll">
    <vt:lpwstr>14;#FR|d2afafd3-4c81-4f60-8f52-ee33f2f54ff3;#35;#FI|87606a43-d45f-42d6-b8c9-e1a3457db5b7;#34;#LT|a7ff5ce7-6123-4f68-865a-a57c31810414;#32;#HU|6b229040-c589-4408-b4c1-4285663d20a8;#31;#NL|55c6556c-b4f4-441d-9acf-c498d4f838bd;#66;#ECO|8df351f5-c957-404c-8cf3-8ffb22c9cba2;#28;#LV|46f7e311-5d9f-4663-b433-18aeccb7ace7;#27;#SL|98a412ae-eb01-49e9-ae3d-585a81724cfc;#25;#DE|f6b31e5a-26fa-4935-b661-318e46daf27e;#23;#MT|7df99101-6854-4a26-b53a-b88c0da02c26;#22;#BG|1a1b3951-7821-4e6a-85f5-5673fc08bd2c;#21;#SV|c2ed69e7-a339-43d7-8f22-d93680a92aa0;#29;#EL|6d4f4d51-af9b-4650-94b4-4276bee85c91;#17;#PL|1e03da61-4678-4e07-b136-b5024ca9197b;#16;#DA|5d49c027-8956-412b-aa16-e85a0f96ad0e;#162;#RES|9e3e62eb-6858-4bc7-8a50-3453e395fd01;#12;#IT|0774613c-01ed-4e5d-a25d-11d2388de825;#8;#Final|ea5e6674-7b27-4bac-b091-73adbb394efe;#43;#CS|72f9705b-0217-4fd3-bea2-cbc7ed80e26e;#5;#EN|f2175f21-25d7-44a3-96da-d6a61b075e1b;#3;#TRA|150d2a88-1431-44e6-a8ca-0bb753ab8672;#36;#PT|50ccc04a-eadd-42ae-a0cb-acaf45f812ba;#1;#EESC|422833ec-8d7e-4e65-8e4e-8bed07ffb729;#6;#Unrestricted|826e22d7-d029-4ec0-a450-0c28ff673572</vt:lpwstr>
  </property>
  <property fmtid="{D5CDD505-2E9C-101B-9397-08002B2CF9AE}" pid="28" name="Rapporteur">
    <vt:lpwstr>VARDAKASTANIS</vt:lpwstr>
  </property>
  <property fmtid="{D5CDD505-2E9C-101B-9397-08002B2CF9AE}" pid="29" name="VersionStatus_0">
    <vt:lpwstr>Final|ea5e6674-7b27-4bac-b091-73adbb394efe</vt:lpwstr>
  </property>
  <property fmtid="{D5CDD505-2E9C-101B-9397-08002B2CF9AE}" pid="30" name="VersionStatus">
    <vt:lpwstr>8;#Final|ea5e6674-7b27-4bac-b091-73adbb394efe</vt:lpwstr>
  </property>
  <property fmtid="{D5CDD505-2E9C-101B-9397-08002B2CF9AE}" pid="31" name="DocumentYear">
    <vt:i4>2024</vt:i4>
  </property>
  <property fmtid="{D5CDD505-2E9C-101B-9397-08002B2CF9AE}" pid="32" name="FicheNumber">
    <vt:i4>7051</vt:i4>
  </property>
  <property fmtid="{D5CDD505-2E9C-101B-9397-08002B2CF9AE}" pid="33" name="DocumentPart">
    <vt:i4>0</vt:i4>
  </property>
  <property fmtid="{D5CDD505-2E9C-101B-9397-08002B2CF9AE}" pid="34" name="DocumentSource">
    <vt:lpwstr>1;#EESC|422833ec-8d7e-4e65-8e4e-8bed07ffb729</vt:lpwstr>
  </property>
  <property fmtid="{D5CDD505-2E9C-101B-9397-08002B2CF9AE}" pid="35" name="AdoptionDate">
    <vt:filetime>2024-07-10T12:00:00Z</vt:filetime>
  </property>
  <property fmtid="{D5CDD505-2E9C-101B-9397-08002B2CF9AE}" pid="36" name="DocumentType">
    <vt:lpwstr>162;#RES|9e3e62eb-6858-4bc7-8a50-3453e395fd01</vt:lpwstr>
  </property>
  <property fmtid="{D5CDD505-2E9C-101B-9397-08002B2CF9AE}" pid="37" name="DocumentLanguage">
    <vt:lpwstr>26;#SK|46d9fce0-ef79-4f71-b89b-cd6aa82426b8</vt:lpwstr>
  </property>
</Properties>
</file>