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9"/>
      </w:tblGrid>
      <w:tr w:rsidR="00896FDC" w14:paraId="01E5C527" w14:textId="77777777">
        <w:trPr>
          <w:jc w:val="center"/>
        </w:trPr>
        <w:tc>
          <w:tcPr>
            <w:tcW w:w="5000" w:type="pct"/>
            <w:vAlign w:val="center"/>
          </w:tcPr>
          <w:p w14:paraId="37924820" w14:textId="77777777" w:rsidR="00901B76" w:rsidRPr="00316392" w:rsidRDefault="00901B76" w:rsidP="0095280D">
            <w:pPr>
              <w:jc w:val="center"/>
              <w:rPr>
                <w:b/>
                <w:sz w:val="72"/>
                <w:szCs w:val="72"/>
              </w:rPr>
            </w:pPr>
            <w:r>
              <w:rPr>
                <w:b/>
                <w:sz w:val="72"/>
              </w:rPr>
              <w:t>REZOLŪCIJA</w:t>
            </w:r>
          </w:p>
        </w:tc>
      </w:tr>
      <w:tr w:rsidR="00896FDC" w14:paraId="4A34D072" w14:textId="77777777">
        <w:trPr>
          <w:trHeight w:val="567"/>
          <w:jc w:val="center"/>
        </w:trPr>
        <w:tc>
          <w:tcPr>
            <w:tcW w:w="5000" w:type="pct"/>
            <w:vAlign w:val="center"/>
          </w:tcPr>
          <w:p w14:paraId="66C90E41" w14:textId="77777777" w:rsidR="00901B76" w:rsidRPr="00316392" w:rsidRDefault="00901B76" w:rsidP="0095280D">
            <w:pPr>
              <w:jc w:val="center"/>
              <w:rPr>
                <w:sz w:val="24"/>
                <w:szCs w:val="24"/>
              </w:rPr>
            </w:pPr>
            <w:r>
              <w:rPr>
                <w:sz w:val="24"/>
              </w:rPr>
              <w:t>Eiropas Ekonomikas un sociālo lietu komiteja</w:t>
            </w:r>
          </w:p>
        </w:tc>
      </w:tr>
      <w:tr w:rsidR="00896FDC" w14:paraId="19FA89FE" w14:textId="77777777">
        <w:trPr>
          <w:jc w:val="center"/>
        </w:trPr>
        <w:tc>
          <w:tcPr>
            <w:tcW w:w="5000" w:type="pct"/>
            <w:vAlign w:val="center"/>
          </w:tcPr>
          <w:p w14:paraId="672D876B" w14:textId="77777777" w:rsidR="005127DA" w:rsidRPr="00316392" w:rsidRDefault="005127DA" w:rsidP="005127DA">
            <w:pPr>
              <w:jc w:val="center"/>
              <w:rPr>
                <w:b/>
                <w:sz w:val="44"/>
                <w:szCs w:val="44"/>
              </w:rPr>
            </w:pPr>
            <w:r>
              <w:rPr>
                <w:b/>
                <w:sz w:val="44"/>
              </w:rPr>
              <w:t>Nevienu nedrīkst atstāt novārtā!</w:t>
            </w:r>
          </w:p>
          <w:p w14:paraId="58B10430" w14:textId="77777777" w:rsidR="00901B76" w:rsidRPr="00316392" w:rsidRDefault="005127DA" w:rsidP="005127DA">
            <w:pPr>
              <w:jc w:val="center"/>
              <w:rPr>
                <w:b/>
                <w:sz w:val="44"/>
                <w:szCs w:val="44"/>
              </w:rPr>
            </w:pPr>
            <w:r>
              <w:rPr>
                <w:b/>
                <w:sz w:val="44"/>
              </w:rPr>
              <w:t>Par iekļaujošu un līdzdalīgu kohēzijas politiku sociālās, ekonomiskās un teritoriālās kohēzijas atbalstam</w:t>
            </w:r>
          </w:p>
        </w:tc>
      </w:tr>
      <w:tr w:rsidR="00896FDC" w14:paraId="1DC80CFD" w14:textId="77777777">
        <w:trPr>
          <w:jc w:val="center"/>
        </w:trPr>
        <w:tc>
          <w:tcPr>
            <w:tcW w:w="5000" w:type="pct"/>
            <w:vAlign w:val="center"/>
          </w:tcPr>
          <w:p w14:paraId="3B8CA5F9" w14:textId="77777777" w:rsidR="00901B76" w:rsidRPr="00316392" w:rsidRDefault="00901B76" w:rsidP="0095280D">
            <w:pPr>
              <w:jc w:val="center"/>
              <w:rPr>
                <w:sz w:val="24"/>
                <w:szCs w:val="24"/>
                <w:lang w:val="en-GB"/>
              </w:rPr>
            </w:pPr>
          </w:p>
        </w:tc>
      </w:tr>
      <w:tr w:rsidR="00896FDC" w14:paraId="0744166F" w14:textId="77777777">
        <w:trPr>
          <w:jc w:val="center"/>
        </w:trPr>
        <w:tc>
          <w:tcPr>
            <w:tcW w:w="5000" w:type="pct"/>
            <w:vAlign w:val="center"/>
          </w:tcPr>
          <w:p w14:paraId="1EA6FCFC" w14:textId="77777777" w:rsidR="00901B76" w:rsidRPr="00316392" w:rsidRDefault="00901B76" w:rsidP="0095280D">
            <w:pPr>
              <w:overflowPunct w:val="0"/>
              <w:autoSpaceDE w:val="0"/>
              <w:autoSpaceDN w:val="0"/>
              <w:adjustRightInd w:val="0"/>
              <w:jc w:val="center"/>
              <w:textAlignment w:val="baseline"/>
              <w:rPr>
                <w:b/>
                <w:position w:val="24"/>
                <w:sz w:val="24"/>
                <w:szCs w:val="24"/>
              </w:rPr>
            </w:pPr>
            <w:r>
              <w:rPr>
                <w:sz w:val="24"/>
              </w:rPr>
              <w:t>_____________</w:t>
            </w:r>
          </w:p>
        </w:tc>
      </w:tr>
      <w:tr w:rsidR="00896FDC" w14:paraId="312D7C45" w14:textId="77777777">
        <w:trPr>
          <w:jc w:val="center"/>
        </w:trPr>
        <w:tc>
          <w:tcPr>
            <w:tcW w:w="5000" w:type="pct"/>
            <w:vAlign w:val="center"/>
          </w:tcPr>
          <w:p w14:paraId="5A1D4D5B" w14:textId="77777777" w:rsidR="00901B76" w:rsidRPr="00316392" w:rsidRDefault="00901B76" w:rsidP="0095280D">
            <w:pPr>
              <w:jc w:val="center"/>
              <w:rPr>
                <w:sz w:val="24"/>
                <w:szCs w:val="24"/>
                <w:lang w:val="en-GB"/>
              </w:rPr>
            </w:pPr>
          </w:p>
        </w:tc>
      </w:tr>
      <w:tr w:rsidR="00896FDC" w14:paraId="148C152B" w14:textId="77777777">
        <w:trPr>
          <w:jc w:val="center"/>
        </w:trPr>
        <w:tc>
          <w:tcPr>
            <w:tcW w:w="5000" w:type="pct"/>
            <w:vAlign w:val="center"/>
          </w:tcPr>
          <w:p w14:paraId="39051F3C" w14:textId="77777777" w:rsidR="00901B76" w:rsidRPr="00316392" w:rsidRDefault="00901B76" w:rsidP="0095280D">
            <w:pPr>
              <w:jc w:val="center"/>
              <w:rPr>
                <w:b/>
                <w:sz w:val="24"/>
                <w:szCs w:val="24"/>
              </w:rPr>
            </w:pPr>
            <w:r>
              <w:rPr>
                <w:sz w:val="24"/>
              </w:rPr>
              <w:t xml:space="preserve">Ziņotājs: </w:t>
            </w:r>
            <w:r>
              <w:rPr>
                <w:b/>
                <w:i/>
                <w:iCs/>
                <w:sz w:val="24"/>
              </w:rPr>
              <w:t>Ioannis VARDAKASTANIS</w:t>
            </w:r>
          </w:p>
        </w:tc>
      </w:tr>
    </w:tbl>
    <w:p w14:paraId="5D14DA53" w14:textId="77777777" w:rsidR="00574C9B" w:rsidRPr="00316392" w:rsidRDefault="00574C9B" w:rsidP="00574C9B">
      <w:r>
        <w:rPr>
          <w:noProof/>
          <w:sz w:val="20"/>
        </w:rPr>
        <mc:AlternateContent>
          <mc:Choice Requires="wps">
            <w:drawing>
              <wp:anchor distT="0" distB="0" distL="114300" distR="114300" simplePos="0" relativeHeight="251659264" behindDoc="1" locked="0" layoutInCell="0" allowOverlap="1" wp14:anchorId="48986EF0" wp14:editId="1AE4D471">
                <wp:simplePos x="0" y="0"/>
                <wp:positionH relativeFrom="rightMargin">
                  <wp:posOffset>-201930</wp:posOffset>
                </wp:positionH>
                <wp:positionV relativeFrom="page">
                  <wp:posOffset>9486900</wp:posOffset>
                </wp:positionV>
                <wp:extent cx="741600" cy="432000"/>
                <wp:effectExtent l="0" t="0" r="0" b="635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600" cy="43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A8E9C6" w14:textId="77777777" w:rsidR="00574C9B" w:rsidRDefault="00574C9B" w:rsidP="00574C9B">
                            <w:pPr>
                              <w:jc w:val="center"/>
                            </w:pPr>
                            <w:r>
                              <w:rPr>
                                <w:rFonts w:ascii="Arial" w:hAnsi="Arial"/>
                                <w:b/>
                                <w:sz w:val="48"/>
                              </w:rPr>
                              <w:t>LV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986EF0" id="_x0000_t202" coordsize="21600,21600" o:spt="202" path="m,l,21600r21600,l21600,xe">
                <v:stroke joinstyle="miter"/>
                <v:path gradientshapeok="t" o:connecttype="rect"/>
              </v:shapetype>
              <v:shape id="Text Box 17" o:spid="_x0000_s1026" type="#_x0000_t202" style="position:absolute;left:0;text-align:left;margin-left:-15.9pt;margin-top:747pt;width:58.4pt;height:34pt;z-index:-25165721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" o:allowincell="f" filled="f" stroked="f">
                <v:textbox>
                  <w:txbxContent>
                    <w:p w14:paraId="69A8E9C6" w14:textId="77777777" w:rsidR="00574C9B" w:rsidRDefault="00574C9B" w:rsidP="00574C9B">
                      <w:pPr>
                        <w:jc w:val="center"/>
                      </w:pPr>
                      <w:r>
                        <w:rPr>
                          <w:rFonts w:ascii="Arial" w:hAnsi="Arial"/>
                          <w:b/>
                          <w:sz w:val="48"/>
                        </w:rPr>
                        <w:t>LV</w:t>
                      </w:r>
                    </w:p>
                  </w:txbxContent>
                </v:textbox>
                <w10:wrap anchorx="margin" anchory="page"/>
              </v:shape>
            </w:pict>
          </mc:Fallback>
        </mc:AlternateContent>
      </w:r>
    </w:p>
    <w:p w14:paraId="04089BD7" w14:textId="77777777" w:rsidR="00574C9B" w:rsidRPr="00316392" w:rsidRDefault="00574C9B" w:rsidP="00574C9B">
      <w:pPr>
        <w:rPr>
          <w:lang w:val="en-GB"/>
        </w:rPr>
      </w:pPr>
    </w:p>
    <w:p w14:paraId="594F39FB" w14:textId="77777777" w:rsidR="00574C9B" w:rsidRPr="00316392" w:rsidRDefault="00574C9B" w:rsidP="00574C9B">
      <w:pPr>
        <w:rPr>
          <w:lang w:val="en-GB"/>
        </w:rPr>
        <w:sectPr w:rsidR="00574C9B" w:rsidRPr="00316392" w:rsidSect="00C6634B">
          <w:headerReference w:type="even" r:id="rId11"/>
          <w:headerReference w:type="default" r:id="rId12"/>
          <w:headerReference w:type="first" r:id="rId13"/>
          <w:pgSz w:w="11907" w:h="16839" w:code="9"/>
          <w:pgMar w:top="5669" w:right="1417" w:bottom="1417" w:left="1417" w:header="709" w:footer="709" w:gutter="0"/>
          <w:cols w:space="720"/>
          <w:docGrid w:linePitch="360"/>
        </w:sectPr>
      </w:pPr>
    </w:p>
    <w:tbl>
      <w:tblPr>
        <w:tblpPr w:leftFromText="181" w:rightFromText="181" w:tblpYSpec="bottom"/>
        <w:tblOverlap w:val="never"/>
        <w:tblW w:w="9289" w:type="dxa"/>
        <w:tblLayout w:type="fixed"/>
        <w:tblLook w:val="04A0" w:firstRow="1" w:lastRow="0" w:firstColumn="1" w:lastColumn="0" w:noHBand="0" w:noVBand="1"/>
      </w:tblPr>
      <w:tblGrid>
        <w:gridCol w:w="3085"/>
        <w:gridCol w:w="6204"/>
      </w:tblGrid>
      <w:tr w:rsidR="00896FDC" w14:paraId="24EA46E4" w14:textId="77777777">
        <w:tc>
          <w:tcPr>
            <w:tcW w:w="3085" w:type="dxa"/>
          </w:tcPr>
          <w:p w14:paraId="4F7038D6" w14:textId="77777777" w:rsidR="00901B76" w:rsidRPr="00316392" w:rsidRDefault="00901B76" w:rsidP="00901B76">
            <w:pPr>
              <w:autoSpaceDE w:val="0"/>
              <w:autoSpaceDN w:val="0"/>
              <w:jc w:val="left"/>
              <w:rPr>
                <w:szCs w:val="20"/>
              </w:rPr>
            </w:pPr>
            <w:r>
              <w:lastRenderedPageBreak/>
              <w:t>Juridiskais pamats</w:t>
            </w:r>
          </w:p>
        </w:tc>
        <w:tc>
          <w:tcPr>
            <w:tcW w:w="6204" w:type="dxa"/>
            <w:vAlign w:val="bottom"/>
          </w:tcPr>
          <w:p w14:paraId="1F413DBD" w14:textId="77777777" w:rsidR="00901B76" w:rsidRPr="00316392" w:rsidRDefault="00901B76" w:rsidP="00901B76">
            <w:pPr>
              <w:autoSpaceDE w:val="0"/>
              <w:autoSpaceDN w:val="0"/>
              <w:jc w:val="left"/>
            </w:pPr>
            <w:r>
              <w:t>Reglamenta 52. panta 4. punkts</w:t>
            </w:r>
          </w:p>
        </w:tc>
      </w:tr>
      <w:tr w:rsidR="00896FDC" w14:paraId="16EBCF90" w14:textId="77777777">
        <w:tc>
          <w:tcPr>
            <w:tcW w:w="3085" w:type="dxa"/>
          </w:tcPr>
          <w:p w14:paraId="4AAE5A64" w14:textId="77777777" w:rsidR="00901B76" w:rsidRPr="00316392" w:rsidRDefault="00901B76" w:rsidP="00901B76">
            <w:pPr>
              <w:autoSpaceDE w:val="0"/>
              <w:autoSpaceDN w:val="0"/>
              <w:jc w:val="left"/>
            </w:pPr>
            <w:r>
              <w:t>Pieņemta plenārsesijā</w:t>
            </w:r>
          </w:p>
        </w:tc>
        <w:tc>
          <w:tcPr>
            <w:tcW w:w="6204" w:type="dxa"/>
            <w:vAlign w:val="bottom"/>
          </w:tcPr>
          <w:p w14:paraId="1DCE85B2" w14:textId="77777777" w:rsidR="00901B76" w:rsidRPr="00316392" w:rsidRDefault="005127DA" w:rsidP="00901B76">
            <w:pPr>
              <w:autoSpaceDE w:val="0"/>
              <w:autoSpaceDN w:val="0"/>
              <w:jc w:val="left"/>
            </w:pPr>
            <w:r>
              <w:t>11/7/2024</w:t>
            </w:r>
          </w:p>
        </w:tc>
      </w:tr>
      <w:tr w:rsidR="00896FDC" w14:paraId="56DF03B3" w14:textId="77777777">
        <w:tc>
          <w:tcPr>
            <w:tcW w:w="3085" w:type="dxa"/>
          </w:tcPr>
          <w:p w14:paraId="6F868F3E" w14:textId="77777777" w:rsidR="00901B76" w:rsidRPr="00316392" w:rsidRDefault="00901B76" w:rsidP="00901B76">
            <w:pPr>
              <w:autoSpaceDE w:val="0"/>
              <w:autoSpaceDN w:val="0"/>
              <w:jc w:val="left"/>
            </w:pPr>
            <w:r>
              <w:t>Plenārsesija Nr.</w:t>
            </w:r>
          </w:p>
        </w:tc>
        <w:tc>
          <w:tcPr>
            <w:tcW w:w="6204" w:type="dxa"/>
            <w:vAlign w:val="bottom"/>
          </w:tcPr>
          <w:p w14:paraId="183225C0" w14:textId="77777777" w:rsidR="00901B76" w:rsidRPr="00316392" w:rsidRDefault="005127DA" w:rsidP="00901B76">
            <w:pPr>
              <w:autoSpaceDE w:val="0"/>
              <w:autoSpaceDN w:val="0"/>
              <w:jc w:val="left"/>
            </w:pPr>
            <w:r>
              <w:t>589</w:t>
            </w:r>
          </w:p>
        </w:tc>
      </w:tr>
      <w:tr w:rsidR="00896FDC" w14:paraId="56ADA3AC" w14:textId="77777777">
        <w:tc>
          <w:tcPr>
            <w:tcW w:w="3085" w:type="dxa"/>
          </w:tcPr>
          <w:p w14:paraId="449DD8C5" w14:textId="77777777" w:rsidR="00901B76" w:rsidRPr="00316392" w:rsidRDefault="00901B76" w:rsidP="00901B76">
            <w:pPr>
              <w:autoSpaceDE w:val="0"/>
              <w:autoSpaceDN w:val="0"/>
              <w:jc w:val="left"/>
            </w:pPr>
            <w:r>
              <w:t>Balsojuma rezultāts</w:t>
            </w:r>
            <w:r>
              <w:br/>
              <w:t>(par/pret/atturas)</w:t>
            </w:r>
          </w:p>
        </w:tc>
        <w:tc>
          <w:tcPr>
            <w:tcW w:w="6204" w:type="dxa"/>
            <w:vAlign w:val="bottom"/>
          </w:tcPr>
          <w:p w14:paraId="7691E93C" w14:textId="77777777" w:rsidR="00901B76" w:rsidRPr="00316392" w:rsidRDefault="00AF5F43" w:rsidP="00901B76">
            <w:pPr>
              <w:autoSpaceDE w:val="0"/>
              <w:autoSpaceDN w:val="0"/>
              <w:jc w:val="left"/>
            </w:pPr>
            <w:r>
              <w:t>159/2/07</w:t>
            </w:r>
          </w:p>
        </w:tc>
      </w:tr>
    </w:tbl>
    <w:p w14:paraId="5E6CE782" w14:textId="77777777" w:rsidR="00AC5114" w:rsidRPr="00316392" w:rsidRDefault="00AC5114" w:rsidP="00574C9B">
      <w:pPr>
        <w:rPr>
          <w:lang w:val="en-GB"/>
        </w:rPr>
      </w:pPr>
    </w:p>
    <w:p w14:paraId="12FA40E5" w14:textId="77777777" w:rsidR="00AC5114" w:rsidRPr="00316392" w:rsidRDefault="00AC5114" w:rsidP="00574C9B">
      <w:pPr>
        <w:rPr>
          <w:lang w:val="en-GB"/>
        </w:rPr>
        <w:sectPr w:rsidR="00AC5114" w:rsidRPr="00316392" w:rsidSect="00C6634B">
          <w:headerReference w:type="even" r:id="rId14"/>
          <w:headerReference w:type="default" r:id="rId15"/>
          <w:footerReference w:type="default" r:id="rId16"/>
          <w:headerReference w:type="first" r:id="rId17"/>
          <w:pgSz w:w="11907" w:h="16839" w:code="9"/>
          <w:pgMar w:top="5669" w:right="1418" w:bottom="1418" w:left="1418" w:header="709" w:footer="709" w:gutter="0"/>
          <w:cols w:space="720"/>
          <w:docGrid w:linePitch="360"/>
        </w:sectPr>
      </w:pPr>
    </w:p>
    <w:p w14:paraId="25983C6D" w14:textId="77777777" w:rsidR="00A25592" w:rsidRPr="009B091D" w:rsidRDefault="00A25592" w:rsidP="00A23851">
      <w:pPr>
        <w:pStyle w:val="Heading1"/>
      </w:pPr>
      <w:r>
        <w:lastRenderedPageBreak/>
        <w:t>Īsi pirms Eiropas Komisijas jaunā pilnvaru termiņa sākuma mēs, Eiropas Ekonomikas un sociālo lietu komiteja, kas pārstāv pilsoniskās sabiedrības organizācijas, aicinām Eiropas Savienības dalībvalstis un tās līderus, Eiropas iestādes un ES iedzīvotājus saskaņā ar LESD 174. pantu saglabāt un aizsargāt ES ekonomisko, sociālo un teritoriālo kohēziju.</w:t>
      </w:r>
    </w:p>
    <w:p w14:paraId="5C52F404" w14:textId="77777777" w:rsidR="00A25592" w:rsidRPr="009B091D" w:rsidRDefault="00A25592" w:rsidP="00A25592">
      <w:pPr>
        <w:pStyle w:val="Heading2"/>
        <w:numPr>
          <w:ilvl w:val="0"/>
          <w:numId w:val="0"/>
        </w:numPr>
        <w:ind w:left="567" w:hanging="567"/>
        <w:rPr>
          <w:lang w:val="en-GB"/>
        </w:rPr>
      </w:pPr>
    </w:p>
    <w:p w14:paraId="75683629" w14:textId="77777777" w:rsidR="00A25592" w:rsidRPr="009B091D" w:rsidRDefault="00A25592" w:rsidP="00A25592">
      <w:pPr>
        <w:pStyle w:val="Heading1"/>
      </w:pPr>
      <w:r>
        <w:t xml:space="preserve">Mēs skaļi uzsveram, ka kohēzijas politikas pamatprincips “nevienu neatstāt novārtā” joprojām ir pamatots un spēkā esošs un ka pilsoniskās sabiedrības partneri ir gatavi turpināt darbu šā principa īstenošanā ar stabilas ES ieguldījumu politikas palīdzību. </w:t>
      </w:r>
    </w:p>
    <w:p w14:paraId="39F2B4A3" w14:textId="77777777" w:rsidR="00A25592" w:rsidRPr="009B091D" w:rsidRDefault="00A25592" w:rsidP="00A25592">
      <w:pPr>
        <w:ind w:left="567" w:hanging="567"/>
        <w:rPr>
          <w:lang w:val="en-GB"/>
        </w:rPr>
      </w:pPr>
    </w:p>
    <w:p w14:paraId="2F08A0DD" w14:textId="77777777" w:rsidR="00A25592" w:rsidRPr="009B091D" w:rsidRDefault="00A25592" w:rsidP="00A25592">
      <w:pPr>
        <w:pStyle w:val="Heading1"/>
      </w:pPr>
      <w:r>
        <w:t>Mēs uzsveram, ka iespēju nevienlīdzība ilgtermiņā var kaitēt izaugsmei un konkurētspējai reģionālā, valstu un ES līmenī. Tāpēc kohēzijas politikai ir jābūt daudzveidīgākai un elastīgākai, taču vienlaikus arī ticamai, stabilai un skaidrai, lai spētu vairāk pievērsties cilvēkiem, it sevišķi visneaizsargātākajiem, un efektīvāk novērst iespēju nevienlīdzību, ar ko saskaras daudzi.</w:t>
      </w:r>
    </w:p>
    <w:p w14:paraId="79101B58" w14:textId="77777777" w:rsidR="00A25592" w:rsidRPr="009B091D" w:rsidRDefault="00A25592" w:rsidP="00A25592">
      <w:pPr>
        <w:ind w:left="567" w:hanging="567"/>
        <w:rPr>
          <w:lang w:val="en-GB"/>
        </w:rPr>
      </w:pPr>
    </w:p>
    <w:p w14:paraId="79F5EFBC" w14:textId="77777777" w:rsidR="00A25592" w:rsidRPr="009B091D" w:rsidRDefault="00A25592" w:rsidP="00A25592">
      <w:pPr>
        <w:pStyle w:val="Heading1"/>
      </w:pPr>
      <w:r>
        <w:t xml:space="preserve">Mēs kritiski attiecamies pret iespēju likvidēt tāda komisāra funkcijas, kura galvenā atbildība ir kohēzijas politika. </w:t>
      </w:r>
    </w:p>
    <w:p w14:paraId="6AFAE75F" w14:textId="77777777" w:rsidR="00A25592" w:rsidRPr="009B091D" w:rsidRDefault="00A25592" w:rsidP="00A25592">
      <w:pPr>
        <w:pStyle w:val="Heading1"/>
        <w:numPr>
          <w:ilvl w:val="0"/>
          <w:numId w:val="0"/>
        </w:numPr>
        <w:ind w:left="567" w:hanging="567"/>
        <w:rPr>
          <w:lang w:val="en-GB"/>
        </w:rPr>
      </w:pPr>
    </w:p>
    <w:p w14:paraId="368B0CE4" w14:textId="77777777" w:rsidR="00A25592" w:rsidRPr="009B091D" w:rsidRDefault="00A25592" w:rsidP="00A25592">
      <w:pPr>
        <w:pStyle w:val="Heading1"/>
      </w:pPr>
      <w:r>
        <w:t>Mēs esam pret kohēzijas politikas samazināšanu un pārveidošanu par ārkārtas krīžu pārvarēšanas instrumentu.</w:t>
      </w:r>
    </w:p>
    <w:p w14:paraId="0F7A5787" w14:textId="77777777" w:rsidR="00A25592" w:rsidRPr="009B091D" w:rsidRDefault="00A25592" w:rsidP="00A25592">
      <w:pPr>
        <w:ind w:left="567" w:hanging="567"/>
        <w:rPr>
          <w:lang w:val="en-GB"/>
        </w:rPr>
      </w:pPr>
    </w:p>
    <w:p w14:paraId="637CA192" w14:textId="77777777" w:rsidR="00A25592" w:rsidRPr="009B091D" w:rsidRDefault="00A25592" w:rsidP="00A25592">
      <w:pPr>
        <w:pStyle w:val="Heading1"/>
      </w:pPr>
      <w:r>
        <w:t xml:space="preserve">Mēs noraidām ieceri pārveidot kohēzijas politiku par Atveseļošanas un noturības mehānismam (ANM) līdzīgu instrumentu, kurā paredzēta tikai neliela strukturāla ieinteresēto personu iesaiste, dalīta pārvaldība un </w:t>
      </w:r>
      <w:proofErr w:type="spellStart"/>
      <w:r>
        <w:t>daudzlīmeņu</w:t>
      </w:r>
      <w:proofErr w:type="spellEnd"/>
      <w:r>
        <w:t xml:space="preserve"> pārvaldība, vai to nav nemaz. </w:t>
      </w:r>
    </w:p>
    <w:p w14:paraId="3F4F3B7A" w14:textId="77777777" w:rsidR="00A25592" w:rsidRPr="009B091D" w:rsidRDefault="00A25592" w:rsidP="00A25592">
      <w:pPr>
        <w:ind w:left="567" w:hanging="567"/>
        <w:rPr>
          <w:lang w:val="en-GB"/>
        </w:rPr>
      </w:pPr>
    </w:p>
    <w:p w14:paraId="5DA97E33" w14:textId="77777777" w:rsidR="00A25592" w:rsidRPr="009B091D" w:rsidRDefault="00A25592" w:rsidP="00A25592">
      <w:pPr>
        <w:pStyle w:val="Heading1"/>
      </w:pPr>
      <w:r>
        <w:t>Mēs atbalstām partnerības principu un skaidrus noteikumus pilsoniskās sabiedrības iesaistīšanai ES finansēto darbību atlasē, pārvaldībā un uzraudzībā.</w:t>
      </w:r>
    </w:p>
    <w:p w14:paraId="4A5B6449" w14:textId="77777777" w:rsidR="00A25592" w:rsidRPr="009B091D" w:rsidRDefault="00A25592" w:rsidP="00A25592">
      <w:pPr>
        <w:ind w:left="567" w:hanging="567"/>
        <w:rPr>
          <w:highlight w:val="yellow"/>
          <w:lang w:val="en-GB"/>
        </w:rPr>
      </w:pPr>
    </w:p>
    <w:p w14:paraId="2F2324BB" w14:textId="77777777" w:rsidR="00A25592" w:rsidRPr="009B091D" w:rsidRDefault="00A25592" w:rsidP="00A25592">
      <w:pPr>
        <w:pStyle w:val="Heading1"/>
      </w:pPr>
      <w:r>
        <w:t>Mēs prasām nepārprotamu norādi uz pilsoniskās sabiedrības iesaisti nākamajā Kopīgo noteikumu regulā (KNR), kas reglamentē kohēzijas fondu un cita ES finansējuma izmantošanu pēc 2027. gada, tādā pašā veidā kā laikposmā no 2021. līdz 2027. gadam.</w:t>
      </w:r>
    </w:p>
    <w:p w14:paraId="7244D619" w14:textId="77777777" w:rsidR="00A25592" w:rsidRPr="009B091D" w:rsidRDefault="00A25592" w:rsidP="00A25592">
      <w:pPr>
        <w:ind w:left="567" w:hanging="567"/>
        <w:rPr>
          <w:lang w:val="en-GB"/>
        </w:rPr>
      </w:pPr>
    </w:p>
    <w:p w14:paraId="55D677D0" w14:textId="77777777" w:rsidR="00A25592" w:rsidRPr="009B091D" w:rsidRDefault="00A25592" w:rsidP="00A25592">
      <w:pPr>
        <w:pStyle w:val="Heading1"/>
      </w:pPr>
      <w:r>
        <w:t>Mēs aicinām īstenot tādu kohēzijas politiku, kas būtu pielāgota konkrētai vietai un orientēta uz cilvēkiem, proti,</w:t>
      </w:r>
    </w:p>
    <w:p w14:paraId="1FBF54C9" w14:textId="77777777" w:rsidR="00A25592" w:rsidRPr="009B091D" w:rsidRDefault="00A25592" w:rsidP="00A25592">
      <w:pPr>
        <w:ind w:left="567" w:hanging="567"/>
        <w:rPr>
          <w:lang w:val="en-GB"/>
        </w:rPr>
      </w:pPr>
    </w:p>
    <w:p w14:paraId="0A245DEB" w14:textId="77777777" w:rsidR="00A25592" w:rsidRPr="009B091D" w:rsidRDefault="00A25592" w:rsidP="00A25592">
      <w:pPr>
        <w:pStyle w:val="Heading2"/>
      </w:pPr>
      <w:r>
        <w:t>“pielāgota konkrētai vietai”, jo, pamatojoties uz teritoriālās ietekmes novērtējumiem, ir jārespektē un pilnībā jāņem vērā teritoriālās īpatnības;</w:t>
      </w:r>
    </w:p>
    <w:p w14:paraId="3033AB02" w14:textId="77777777" w:rsidR="00A25592" w:rsidRPr="009B091D" w:rsidRDefault="00A25592" w:rsidP="00A25592">
      <w:pPr>
        <w:ind w:left="567" w:hanging="567"/>
        <w:rPr>
          <w:lang w:val="en-GB"/>
        </w:rPr>
      </w:pPr>
    </w:p>
    <w:p w14:paraId="49342CC4" w14:textId="77777777" w:rsidR="00A25592" w:rsidRPr="009B091D" w:rsidRDefault="00A25592" w:rsidP="00A25592">
      <w:pPr>
        <w:pStyle w:val="Heading2"/>
      </w:pPr>
      <w:r>
        <w:t xml:space="preserve">lai sasniegtu vēlamos rezultātus, jāizmanto uz “cilvēkiem orientēta pieeja” – tāda pieeja, kas pilnībā respektē partnerības principu un kuras stūrakmeņi ir </w:t>
      </w:r>
      <w:proofErr w:type="spellStart"/>
      <w:r>
        <w:t>daudzlīmeņu</w:t>
      </w:r>
      <w:proofErr w:type="spellEnd"/>
      <w:r>
        <w:t xml:space="preserve"> pārvaldība, </w:t>
      </w:r>
      <w:proofErr w:type="spellStart"/>
      <w:r>
        <w:t>koppartnerība</w:t>
      </w:r>
      <w:proofErr w:type="spellEnd"/>
      <w:r>
        <w:t xml:space="preserve"> un augšupējas pieejas.</w:t>
      </w:r>
    </w:p>
    <w:p w14:paraId="71A62827" w14:textId="77777777" w:rsidR="00A25592" w:rsidRPr="009B091D" w:rsidRDefault="00A25592" w:rsidP="00A25592">
      <w:pPr>
        <w:ind w:left="567" w:hanging="567"/>
        <w:rPr>
          <w:lang w:val="en-GB"/>
        </w:rPr>
      </w:pPr>
    </w:p>
    <w:p w14:paraId="0E5F4EEA" w14:textId="77777777" w:rsidR="00A25592" w:rsidRPr="009B091D" w:rsidRDefault="00A25592" w:rsidP="009B091D">
      <w:pPr>
        <w:pStyle w:val="Heading1"/>
      </w:pPr>
      <w:r>
        <w:t xml:space="preserve">Mēs aicinām dot kohēzijas politikai jaunu impulsu. Lai veidotu spēcīgu, efektīvu, elastīgu un atjauninātu kohēzijas politiku, kas līdztekus ieguldījumiem vairāk koncentrējas uz spējām, </w:t>
      </w:r>
      <w:proofErr w:type="spellStart"/>
      <w:r>
        <w:t>starpreģionālajām</w:t>
      </w:r>
      <w:proofErr w:type="spellEnd"/>
      <w:r>
        <w:t xml:space="preserve"> saiknēm, reāliem rezultātiem un </w:t>
      </w:r>
      <w:proofErr w:type="spellStart"/>
      <w:r>
        <w:t>labumguvēju</w:t>
      </w:r>
      <w:proofErr w:type="spellEnd"/>
      <w:r>
        <w:t xml:space="preserve"> iespējām, mūsu Komitejas skatījumā būtu jāpaplašina, jāmodernizē vai jāpārskata instrumentu un pieeju klāsts. Šajā saistībā ir svarīgi</w:t>
      </w:r>
    </w:p>
    <w:p w14:paraId="79632C77" w14:textId="77777777" w:rsidR="00A25592" w:rsidRPr="009B091D" w:rsidRDefault="00A25592" w:rsidP="00A25592">
      <w:pPr>
        <w:ind w:left="567" w:hanging="567"/>
        <w:rPr>
          <w:lang w:val="en-GB"/>
        </w:rPr>
      </w:pPr>
    </w:p>
    <w:p w14:paraId="6CADB9AE" w14:textId="77777777" w:rsidR="00A25592" w:rsidRPr="009B091D" w:rsidRDefault="00A25592" w:rsidP="00A23851">
      <w:pPr>
        <w:pStyle w:val="Heading2"/>
      </w:pPr>
      <w:r>
        <w:lastRenderedPageBreak/>
        <w:t>pievērsties galvenajām ES strukturālajām problēmām: vājai attīstībai, ilgtermiņa ekonomiskajai stagnācijai un vienlīdzīgu iespēju trūkumam visos reģionos, kā arī nevienlīdzībai starp reģioniem un sabiedrībām un to iekšienē;</w:t>
      </w:r>
    </w:p>
    <w:p w14:paraId="5FB92A24" w14:textId="77777777" w:rsidR="00A25592" w:rsidRPr="00316392" w:rsidRDefault="00A25592" w:rsidP="00A25592">
      <w:pPr>
        <w:pStyle w:val="ListParagraph"/>
        <w:ind w:left="567" w:hanging="567"/>
      </w:pPr>
    </w:p>
    <w:p w14:paraId="5D929080" w14:textId="77777777" w:rsidR="00A25592" w:rsidRPr="009B091D" w:rsidRDefault="00A25592" w:rsidP="00A25592">
      <w:pPr>
        <w:pStyle w:val="Heading2"/>
      </w:pPr>
      <w:r>
        <w:t>lielāku uzsvaru likt uz teritoriālās politikas stratēģijām, tādām kā integrēti teritoriālie ieguldījumi (ITI) un sabiedrības virzīta vietējā attīstība (SVVA). Tādēļ jāstiprina vietējo pašvaldību, pilsētu un citu teritoriālo iestāžu spējas fondu pārvaldības jomā, vienlaikus neaizmirstot par saskaņotību;</w:t>
      </w:r>
    </w:p>
    <w:p w14:paraId="5ABE6E24" w14:textId="77777777" w:rsidR="00A25592" w:rsidRPr="009B091D" w:rsidRDefault="00A25592" w:rsidP="00A25592">
      <w:pPr>
        <w:ind w:left="567" w:hanging="567"/>
        <w:rPr>
          <w:lang w:val="en-GB"/>
        </w:rPr>
      </w:pPr>
    </w:p>
    <w:p w14:paraId="56944DA4" w14:textId="77777777" w:rsidR="00A25592" w:rsidRPr="009B091D" w:rsidRDefault="00A25592" w:rsidP="00A25592">
      <w:pPr>
        <w:pStyle w:val="Heading2"/>
      </w:pPr>
      <w:r>
        <w:t xml:space="preserve">koncentrēties uz iedzīvotāju grupām ar zemāku nodarbinātības līmeni (sievietēm, jauniešiem, cilvēkiem ar invaliditāti, imigrantiem, cilvēkiem ar zemāku izglītības līmeni), kuriem ir vajadzīgas īpašas apmācības, </w:t>
      </w:r>
      <w:proofErr w:type="spellStart"/>
      <w:r>
        <w:t>pārkvalifikācijas</w:t>
      </w:r>
      <w:proofErr w:type="spellEnd"/>
      <w:r>
        <w:t>, prasmju pilnveides un atbalsta programmas uz vietas;</w:t>
      </w:r>
    </w:p>
    <w:p w14:paraId="1273825E" w14:textId="77777777" w:rsidR="00A25592" w:rsidRPr="009B091D" w:rsidRDefault="00A25592" w:rsidP="00A25592">
      <w:pPr>
        <w:ind w:left="567" w:hanging="567"/>
        <w:rPr>
          <w:lang w:val="en-GB"/>
        </w:rPr>
      </w:pPr>
    </w:p>
    <w:p w14:paraId="745D184D" w14:textId="77777777" w:rsidR="00A25592" w:rsidRPr="009B091D" w:rsidRDefault="00A25592" w:rsidP="00A25592">
      <w:pPr>
        <w:pStyle w:val="Heading2"/>
      </w:pPr>
      <w:r>
        <w:t>turpināt instrumentu, tostarp finanšu instrumentu, specializāciju un dažādošanu, lai kohēzijas politika varētu darboties attiecībā uz konkrētām neaizsargātu iedzīvotāju grupām un teritorijām un konkrētos reģionos, kuros vispārēji ar nodarbinātību saistīti risinājumi nav piemēroti šo cilvēku integrācijai darba tirgū;</w:t>
      </w:r>
    </w:p>
    <w:p w14:paraId="327A3F1B" w14:textId="77777777" w:rsidR="00A25592" w:rsidRPr="009B091D" w:rsidRDefault="00A25592" w:rsidP="00A25592">
      <w:pPr>
        <w:rPr>
          <w:lang w:val="en-GB"/>
        </w:rPr>
      </w:pPr>
    </w:p>
    <w:p w14:paraId="16D3AF79" w14:textId="77777777" w:rsidR="00A25592" w:rsidRPr="009B091D" w:rsidRDefault="00A25592" w:rsidP="00A25592">
      <w:pPr>
        <w:pStyle w:val="Heading2"/>
      </w:pPr>
      <w:r>
        <w:t>atbalstīt ieguldījumus sociālajā infrastruktūrā, lai efektīvi pārvarētu būtiskās demogrāfiskās problēmas, ar kurām saskaras ES. Vēl jo vairāk tas ir vajadzīgs tajos reģionos, kuros samazinās ekonomiski aktīvo iedzīvotāju skaits un ir neliels augstāko izglītību ieguvušo īpatsvars, kā arī reģionos, kurus pamet jaunieši;</w:t>
      </w:r>
    </w:p>
    <w:p w14:paraId="51FF856E" w14:textId="77777777" w:rsidR="00A25592" w:rsidRPr="009B091D" w:rsidRDefault="00A25592" w:rsidP="00A25592">
      <w:pPr>
        <w:ind w:left="567" w:hanging="567"/>
        <w:rPr>
          <w:lang w:val="en-GB"/>
        </w:rPr>
      </w:pPr>
    </w:p>
    <w:p w14:paraId="52AEA9F2" w14:textId="77777777" w:rsidR="00A25592" w:rsidRPr="009B091D" w:rsidRDefault="00A25592" w:rsidP="00A25592">
      <w:pPr>
        <w:pStyle w:val="Heading2"/>
      </w:pPr>
      <w:r>
        <w:t xml:space="preserve">stiprināt pārrobežu darba tirgu potenciālu, jo juridisko un administratīvo šķēršļu dēļ tie nav pietiekami attīstīti. Šajā nolūkā ir jāstiprina pārrobežu un </w:t>
      </w:r>
      <w:proofErr w:type="spellStart"/>
      <w:r>
        <w:t>starpreģionālā</w:t>
      </w:r>
      <w:proofErr w:type="spellEnd"/>
      <w:r>
        <w:t xml:space="preserve"> sadarbība, īpaši infrastruktūras attīstībai un sociālās ekonomikas struktūru darbības atbalstam;</w:t>
      </w:r>
    </w:p>
    <w:p w14:paraId="11BA92B7" w14:textId="77777777" w:rsidR="00A25592" w:rsidRPr="009B091D" w:rsidRDefault="00A25592" w:rsidP="00A25592">
      <w:pPr>
        <w:ind w:left="567" w:hanging="567"/>
        <w:rPr>
          <w:lang w:val="en-GB"/>
        </w:rPr>
      </w:pPr>
    </w:p>
    <w:p w14:paraId="3D9B3C3D" w14:textId="77777777" w:rsidR="00A25592" w:rsidRPr="009B091D" w:rsidRDefault="00A25592" w:rsidP="00A25592">
      <w:pPr>
        <w:pStyle w:val="Heading2"/>
      </w:pPr>
      <w:r>
        <w:t>arī turpmāk aizsargāt mazos un vidējos uzņēmumus (MVU) un to ilgtspēju. Lai to panāktu, ir jāizmanto pašreizējie ES standarta instrumenti, proti, Eiropas Sociālais fonds, Eiropas Reģionālās attīstības fonds (ERAF), Kohēzijas fonds un Taisnīgas pārkārtošanās mehānisms, turklāt tas jādara inovatīvi, taču pietiekami vienkārši, lai MVU varētu viegli piekļūt finansējumam un saņemtu ilgtermiņā izdevīgus kreditēšanas nosacījumus;</w:t>
      </w:r>
    </w:p>
    <w:p w14:paraId="0762CE20" w14:textId="77777777" w:rsidR="00A25592" w:rsidRPr="009B091D" w:rsidRDefault="00A25592" w:rsidP="00A25592">
      <w:pPr>
        <w:ind w:left="567" w:hanging="567"/>
        <w:rPr>
          <w:lang w:val="en-GB"/>
        </w:rPr>
      </w:pPr>
    </w:p>
    <w:p w14:paraId="748A4C8E" w14:textId="77777777" w:rsidR="00A25592" w:rsidRPr="009B091D" w:rsidRDefault="00A25592" w:rsidP="00A25592">
      <w:pPr>
        <w:pStyle w:val="Heading2"/>
      </w:pPr>
      <w:r>
        <w:t>panākt intensīvāku sinerģiju Taisnīgas pārkārtošanās mehānismā kopumā. Mēs esam pārliecināti, ka kohēzijas politikai arī turpmāk jābūt galvenajai ES ieguldījumu politikai, kas atbalsta Eiropas reģionālo politiku saistībā ar pielāgošanos klimata mērķiem. Ar principu “nenodarīt būtisku kaitējumu” ir jānodrošina, ka investīcijas pilnībā atbilst zaļā kursa mērķiem;</w:t>
      </w:r>
    </w:p>
    <w:p w14:paraId="78A7E6DB" w14:textId="77777777" w:rsidR="00A25592" w:rsidRPr="009B091D" w:rsidRDefault="00A25592" w:rsidP="00A25592">
      <w:pPr>
        <w:ind w:left="567" w:hanging="567"/>
        <w:rPr>
          <w:lang w:val="en-GB"/>
        </w:rPr>
      </w:pPr>
    </w:p>
    <w:p w14:paraId="5C5068C0" w14:textId="77777777" w:rsidR="00A25592" w:rsidRPr="009B091D" w:rsidRDefault="00A25592" w:rsidP="00A25592">
      <w:pPr>
        <w:pStyle w:val="Heading2"/>
      </w:pPr>
      <w:r>
        <w:t>padziļināti izskatīt jautājumu par lielo uzņēmumu finansēšanu kā svarīgu konverģences faktoru, īpaši attiecībā uz stratēģiskajām tehnoloģijām, izmantojot jauno Eiropas stratēģisko tehnoloģiju platformas (</w:t>
      </w:r>
      <w:r>
        <w:rPr>
          <w:i/>
        </w:rPr>
        <w:t>STEP</w:t>
      </w:r>
      <w:r>
        <w:t>) instrumentu;</w:t>
      </w:r>
    </w:p>
    <w:p w14:paraId="13CF7E12" w14:textId="77777777" w:rsidR="00A25592" w:rsidRPr="009B091D" w:rsidRDefault="00A25592" w:rsidP="00A25592">
      <w:pPr>
        <w:ind w:left="567" w:hanging="567"/>
        <w:rPr>
          <w:lang w:val="en-GB"/>
        </w:rPr>
      </w:pPr>
    </w:p>
    <w:p w14:paraId="1A2436BB" w14:textId="77777777" w:rsidR="00A25592" w:rsidRPr="009B091D" w:rsidRDefault="00A25592" w:rsidP="00A25592">
      <w:pPr>
        <w:pStyle w:val="Heading2"/>
      </w:pPr>
      <w:r>
        <w:t>radīt jauna veida ekonomiskās perspektīvas mazāk attīstītiem, nomaļiem, mazapdzīvotiem un lauku apvidiem, ES salām un tālākajiem reģioniem. Jāpievēršas arī plaisai starp lauku apvidiem, pilsētu teritorijām un pilsētu centriem, vienlaikus stiprinot to savstarpējās saiknes;</w:t>
      </w:r>
    </w:p>
    <w:p w14:paraId="7A5474A1" w14:textId="77777777" w:rsidR="00A25592" w:rsidRPr="009B091D" w:rsidRDefault="00A25592" w:rsidP="00A25592">
      <w:pPr>
        <w:ind w:left="567" w:hanging="567"/>
        <w:rPr>
          <w:lang w:val="en-GB"/>
        </w:rPr>
      </w:pPr>
    </w:p>
    <w:p w14:paraId="150B3662" w14:textId="77777777" w:rsidR="00A25592" w:rsidRPr="009B091D" w:rsidRDefault="00A25592" w:rsidP="00A25592">
      <w:pPr>
        <w:pStyle w:val="Heading2"/>
      </w:pPr>
      <w:r>
        <w:lastRenderedPageBreak/>
        <w:t>veicināt iniciatīvas, kuru mērķis ir rūpīgi apzināt un risināt īpašās vajadzības tādās teritorijās un reģionos, kas nonākuši attīstības slazdā, un palīdzēt tiem pārvarēt problēmas;</w:t>
      </w:r>
    </w:p>
    <w:p w14:paraId="6A3204AC" w14:textId="77777777" w:rsidR="00A25592" w:rsidRPr="009B091D" w:rsidRDefault="00A25592" w:rsidP="00A25592">
      <w:pPr>
        <w:ind w:left="567" w:hanging="567"/>
        <w:rPr>
          <w:lang w:val="en-GB"/>
        </w:rPr>
      </w:pPr>
    </w:p>
    <w:p w14:paraId="1BEA27BB" w14:textId="77777777" w:rsidR="00A25592" w:rsidRPr="009B091D" w:rsidRDefault="00A25592" w:rsidP="00A25592">
      <w:pPr>
        <w:pStyle w:val="Heading2"/>
      </w:pPr>
      <w:r>
        <w:t xml:space="preserve">pieņemt tādu kohēzijas politiku, kurā būtu iekļauti tādi svarīgi elementi kā dalīta pārvaldība, reģionālā pieeja, </w:t>
      </w:r>
      <w:proofErr w:type="spellStart"/>
      <w:r>
        <w:t>priekšfinansējums</w:t>
      </w:r>
      <w:proofErr w:type="spellEnd"/>
      <w:r>
        <w:t xml:space="preserve"> un līdzfinansējuma likmes. Ar ieguldījumiem vien nepietiek. Ikvienam reģionam ir vajadzīgas stabilas pārvaldības struktūras un piemērots politikas pasākumu kopums, kurā izmantota sinerģija starp visām ieinteresētajām pusēm. Mums ir vajadzīga augšupēja pieeja. Tas nozīmē, ka investīcijas bieži ir jāpapildina ar pielāgotām reformām un iedzīvotājiem labvēlīgu politiku;</w:t>
      </w:r>
    </w:p>
    <w:p w14:paraId="01030455" w14:textId="77777777" w:rsidR="00A25592" w:rsidRPr="009B091D" w:rsidRDefault="00A25592" w:rsidP="00A25592">
      <w:pPr>
        <w:ind w:left="567" w:hanging="567"/>
        <w:rPr>
          <w:lang w:val="en-GB"/>
        </w:rPr>
      </w:pPr>
    </w:p>
    <w:p w14:paraId="6BC9EAB9" w14:textId="77777777" w:rsidR="00A25592" w:rsidRPr="009B091D" w:rsidRDefault="00A25592" w:rsidP="00A25592">
      <w:pPr>
        <w:pStyle w:val="Heading2"/>
      </w:pPr>
      <w:r>
        <w:t xml:space="preserve">ciešāk iesaistīt pilsonisko sabiedrību un visas vietējā līmeņa ieinteresētās personas, lai kohēzijas politikā stiprinātu partnerības principa un </w:t>
      </w:r>
      <w:proofErr w:type="spellStart"/>
      <w:r>
        <w:t>daudzlīmeņu</w:t>
      </w:r>
      <w:proofErr w:type="spellEnd"/>
      <w:r>
        <w:t xml:space="preserve"> pārvaldības principa efektivitāti. Šāda iesaistīšana, palielinot līdzatbildību par ES politiku, var palīdzēt mazināt spiedienu uz demokrātiju;</w:t>
      </w:r>
    </w:p>
    <w:p w14:paraId="3C3E9DBD" w14:textId="77777777" w:rsidR="00A25592" w:rsidRPr="00316392" w:rsidRDefault="00A25592" w:rsidP="00A25592">
      <w:pPr>
        <w:pStyle w:val="ListParagraph"/>
        <w:ind w:left="567" w:hanging="567"/>
      </w:pPr>
    </w:p>
    <w:p w14:paraId="49363BA5" w14:textId="77777777" w:rsidR="00A25592" w:rsidRPr="009B091D" w:rsidRDefault="00A25592" w:rsidP="00A25592">
      <w:pPr>
        <w:pStyle w:val="Heading2"/>
      </w:pPr>
      <w:r>
        <w:t xml:space="preserve">stiprināt dažādu valdības līmeņu, </w:t>
      </w:r>
      <w:proofErr w:type="spellStart"/>
      <w:r>
        <w:t>labumguvēju</w:t>
      </w:r>
      <w:proofErr w:type="spellEnd"/>
      <w:r>
        <w:t xml:space="preserve"> un pārējo valsts, reģionālā un vietējā līmeņa ieinteresēto personu administratīvās spējas un sniegt labāk pielāgotu tehnisko atbalstu, lai uzlabotu politikas īstenošanu vietējā līmenī;</w:t>
      </w:r>
    </w:p>
    <w:p w14:paraId="409AF691" w14:textId="77777777" w:rsidR="00A25592" w:rsidRPr="009B091D" w:rsidRDefault="00A25592" w:rsidP="00A25592">
      <w:pPr>
        <w:pStyle w:val="Heading2"/>
        <w:numPr>
          <w:ilvl w:val="0"/>
          <w:numId w:val="0"/>
        </w:numPr>
        <w:ind w:left="567" w:hanging="567"/>
        <w:rPr>
          <w:lang w:val="en-GB"/>
        </w:rPr>
      </w:pPr>
    </w:p>
    <w:p w14:paraId="13F1F969" w14:textId="77777777" w:rsidR="00A25592" w:rsidRPr="009B091D" w:rsidRDefault="00A25592" w:rsidP="00A25592">
      <w:pPr>
        <w:pStyle w:val="Heading2"/>
      </w:pPr>
      <w:r>
        <w:t xml:space="preserve">ņemt vērā un izmantot </w:t>
      </w:r>
      <w:proofErr w:type="spellStart"/>
      <w:r>
        <w:t>paraugpraksi</w:t>
      </w:r>
      <w:proofErr w:type="spellEnd"/>
      <w:r>
        <w:t>, efektīvus politikas pasākumus un īpašo finansējumu, ko pašlaik nodrošina ANM, lai tie turpinātu darboties arī jaunajā kohēzijas politikā. Mums jānodrošina, ka ANM līdzekļu izmantošana joprojām ir pilnībā saderīga ar turpmākās kohēzijas politikas īstenošanu un ka mehānisma finansēšanas izmaiņu dēļ netiek apturēti ANM ietvaros līdz šim sāktie ieguldījumi un programmas;</w:t>
      </w:r>
    </w:p>
    <w:p w14:paraId="44F9F7BA" w14:textId="77777777" w:rsidR="00A25592" w:rsidRPr="009B091D" w:rsidRDefault="00A25592" w:rsidP="00A25592">
      <w:pPr>
        <w:pStyle w:val="Heading2"/>
        <w:numPr>
          <w:ilvl w:val="0"/>
          <w:numId w:val="0"/>
        </w:numPr>
        <w:ind w:left="567" w:hanging="567"/>
        <w:rPr>
          <w:lang w:val="en-GB"/>
        </w:rPr>
      </w:pPr>
    </w:p>
    <w:p w14:paraId="44A17875" w14:textId="77777777" w:rsidR="00A25592" w:rsidRPr="009B091D" w:rsidRDefault="00A25592" w:rsidP="00A25592">
      <w:pPr>
        <w:pStyle w:val="Heading2"/>
      </w:pPr>
      <w:r>
        <w:t xml:space="preserve">kohēzijas mērķus vēl vairāk integrēt Eiropas pusgadā; </w:t>
      </w:r>
    </w:p>
    <w:p w14:paraId="0196EAD6" w14:textId="77777777" w:rsidR="00A25592" w:rsidRPr="009B091D" w:rsidRDefault="00A25592" w:rsidP="00A25592">
      <w:pPr>
        <w:pStyle w:val="Heading2"/>
        <w:numPr>
          <w:ilvl w:val="0"/>
          <w:numId w:val="0"/>
        </w:numPr>
        <w:ind w:left="567" w:hanging="567"/>
        <w:rPr>
          <w:lang w:val="en-GB"/>
        </w:rPr>
      </w:pPr>
    </w:p>
    <w:p w14:paraId="15BBCE6A" w14:textId="77777777" w:rsidR="00A25592" w:rsidRPr="009B091D" w:rsidRDefault="00A25592" w:rsidP="00A25592">
      <w:pPr>
        <w:pStyle w:val="Heading2"/>
      </w:pPr>
      <w:r>
        <w:t>padarīt daudzgadu finanšu shēmas kopējo budžetu vērienīgāku un nodrošināt kohēzijas politikai pietiekamu finansējumu, ņemot vērā arī to, ka nākotnē būs vajadzīgi ES ieguldījumi aizsardzībā un ka Eiropas Savienībā būs vairāk nekā 27 dalībvalstis. Ieguldījumiem Eiropas Savienībā un tās ekonomiskajā, sociālajā un teritoriālajā kohēzijā, labklājībā un konkurētspējā nepietiek tikai ar 1 % no ES NKI;</w:t>
      </w:r>
    </w:p>
    <w:p w14:paraId="60EA749A" w14:textId="77777777" w:rsidR="00A25592" w:rsidRPr="009B091D" w:rsidRDefault="00A25592" w:rsidP="00A25592">
      <w:pPr>
        <w:pStyle w:val="Heading2"/>
        <w:numPr>
          <w:ilvl w:val="0"/>
          <w:numId w:val="0"/>
        </w:numPr>
        <w:ind w:left="567" w:hanging="567"/>
        <w:rPr>
          <w:lang w:val="en-GB"/>
        </w:rPr>
      </w:pPr>
    </w:p>
    <w:p w14:paraId="1D8810DA" w14:textId="77777777" w:rsidR="00A25592" w:rsidRPr="009B091D" w:rsidRDefault="00A25592" w:rsidP="00A25592">
      <w:pPr>
        <w:pStyle w:val="Heading2"/>
      </w:pPr>
      <w:r>
        <w:t>attiecībā uz turpmākajām paplašināšanās kārtām ņemt vērā, ka nākamajā plānošanas periodā būs vajadzīgs pietiekams finansējums, lai garantētu jauno dalībvalstu raitu integrāciju, neapdraudot ieguldījumus pašreizējos attīstības reģionos.</w:t>
      </w:r>
    </w:p>
    <w:p w14:paraId="07FB2F59" w14:textId="77777777" w:rsidR="00A25592" w:rsidRPr="00316392" w:rsidRDefault="00A25592" w:rsidP="00A25592">
      <w:pPr>
        <w:pStyle w:val="ListParagraph"/>
        <w:ind w:left="567" w:hanging="567"/>
      </w:pPr>
    </w:p>
    <w:p w14:paraId="4A542CFE" w14:textId="77777777" w:rsidR="00A25592" w:rsidRPr="009B091D" w:rsidRDefault="00A25592" w:rsidP="00A25592">
      <w:pPr>
        <w:pStyle w:val="Heading1"/>
        <w:keepNext/>
        <w:keepLines/>
        <w:rPr>
          <w:b/>
          <w:bCs/>
        </w:rPr>
      </w:pPr>
      <w:r>
        <w:rPr>
          <w:b/>
        </w:rPr>
        <w:t>Mēs, būdami pilsoniskās sabiedrības pārstāvji, darīsim visu, lai nosargātu kohēzijas politikas pamatprincipus un nodrošinātu, ka tā joprojām ir saistviela, kas Eiropu tur kopā.</w:t>
      </w:r>
    </w:p>
    <w:p w14:paraId="1A4EE6F0" w14:textId="77777777" w:rsidR="00A25592" w:rsidRPr="009B091D" w:rsidRDefault="00A25592" w:rsidP="00A25592">
      <w:pPr>
        <w:keepNext/>
        <w:keepLines/>
        <w:ind w:left="567" w:hanging="567"/>
        <w:rPr>
          <w:lang w:val="en-GB"/>
        </w:rPr>
      </w:pPr>
    </w:p>
    <w:p w14:paraId="5FFE56C8" w14:textId="77777777" w:rsidR="00A25592" w:rsidRPr="009B091D" w:rsidRDefault="00A25592" w:rsidP="00A25592">
      <w:pPr>
        <w:keepNext/>
        <w:keepLines/>
      </w:pPr>
      <w:r>
        <w:t>Briselē, 2024. gada 11. jūlijā</w:t>
      </w:r>
    </w:p>
    <w:p w14:paraId="3B542F71" w14:textId="77777777" w:rsidR="00901B76" w:rsidRPr="009B091D" w:rsidRDefault="00901B76" w:rsidP="00672B2A">
      <w:pPr>
        <w:rPr>
          <w:lang w:val="en-GB"/>
        </w:rPr>
      </w:pPr>
    </w:p>
    <w:p w14:paraId="27ACD466" w14:textId="77777777" w:rsidR="00901B76" w:rsidRPr="009B091D" w:rsidRDefault="00901B76" w:rsidP="00901B76">
      <w:pPr>
        <w:rPr>
          <w:lang w:val="en-GB"/>
        </w:rPr>
      </w:pPr>
    </w:p>
    <w:p w14:paraId="2C5D186F" w14:textId="77777777" w:rsidR="00901B76" w:rsidRPr="009B091D" w:rsidRDefault="00901B76" w:rsidP="00901B76">
      <w:pPr>
        <w:rPr>
          <w:i/>
          <w:iCs/>
        </w:rPr>
      </w:pPr>
      <w:r>
        <w:rPr>
          <w:i/>
        </w:rPr>
        <w:t>Eiropas Ekonomikas un sociālo lietu komitejas priekšsēdētājs</w:t>
      </w:r>
    </w:p>
    <w:p w14:paraId="0A7F29D4" w14:textId="77777777" w:rsidR="00901B76" w:rsidRPr="009B091D" w:rsidRDefault="00F47BD2" w:rsidP="00901B76">
      <w:r>
        <w:rPr>
          <w:i/>
          <w:iCs/>
        </w:rPr>
        <w:t>Oliver RÖPKE</w:t>
      </w:r>
    </w:p>
    <w:p w14:paraId="4B7452C7" w14:textId="77777777" w:rsidR="00F53370" w:rsidRPr="00316392" w:rsidRDefault="00901B76">
      <w:pPr>
        <w:jc w:val="center"/>
      </w:pPr>
      <w:r>
        <w:t>_____________</w:t>
      </w:r>
    </w:p>
    <w:sectPr w:rsidR="00F53370" w:rsidRPr="00316392" w:rsidSect="009B091D">
      <w:headerReference w:type="default" r:id="rId18"/>
      <w:footerReference w:type="default" r:id="rId19"/>
      <w:pgSz w:w="11907" w:h="16839" w:code="9"/>
      <w:pgMar w:top="1304" w:right="1418" w:bottom="1304" w:left="1418" w:header="709" w:footer="709"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9422BC" w14:textId="77777777" w:rsidR="007C540D" w:rsidRDefault="007C540D" w:rsidP="00F53370">
      <w:pPr>
        <w:spacing w:line="240" w:lineRule="auto"/>
      </w:pPr>
      <w:r>
        <w:separator/>
      </w:r>
    </w:p>
  </w:endnote>
  <w:endnote w:type="continuationSeparator" w:id="0">
    <w:p w14:paraId="46959337" w14:textId="77777777" w:rsidR="007C540D" w:rsidRDefault="007C540D" w:rsidP="00F5337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D796B" w14:textId="77777777" w:rsidR="00574C9B" w:rsidRDefault="00574C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93DB9" w14:textId="242DD174" w:rsidR="0084105C" w:rsidRPr="003065C9" w:rsidRDefault="00C6634B" w:rsidP="00C6634B">
    <w:pPr>
      <w:pStyle w:val="Footer"/>
      <w:jc w:val="left"/>
    </w:pPr>
    <w:r>
      <w:t xml:space="preserve">ECO/650 – EESC-2024-02528-00-00-RES-TRA (EN) </w:t>
    </w:r>
    <w:r>
      <w:fldChar w:fldCharType="begin"/>
    </w:r>
    <w:r>
      <w:instrText xml:space="preserve"> PAGE  \* Arabic  \* MERGEFORMAT </w:instrText>
    </w:r>
    <w:r>
      <w:fldChar w:fldCharType="separate"/>
    </w:r>
    <w:r>
      <w:t>1</w:t>
    </w:r>
    <w:r>
      <w:fldChar w:fldCharType="end"/>
    </w:r>
    <w:r>
      <w:t>/</w:t>
    </w:r>
    <w:r>
      <w:fldChar w:fldCharType="begin"/>
    </w:r>
    <w:r>
      <w:instrText xml:space="preserve"> = </w:instrText>
    </w:r>
    <w:fldSimple w:instr=" NUMPAGES ">
      <w:r w:rsidR="00282E17">
        <w:rPr>
          <w:noProof/>
        </w:rPr>
        <w:instrText>5</w:instrText>
      </w:r>
    </w:fldSimple>
    <w:r>
      <w:instrText xml:space="preserve"> - 2 </w:instrText>
    </w:r>
    <w:r>
      <w:fldChar w:fldCharType="separate"/>
    </w:r>
    <w:r w:rsidR="00282E17">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B6B210" w14:textId="77777777" w:rsidR="007C540D" w:rsidRDefault="007C540D" w:rsidP="00F53370">
      <w:pPr>
        <w:spacing w:line="240" w:lineRule="auto"/>
      </w:pPr>
      <w:r>
        <w:separator/>
      </w:r>
    </w:p>
  </w:footnote>
  <w:footnote w:type="continuationSeparator" w:id="0">
    <w:p w14:paraId="4543AB08" w14:textId="77777777" w:rsidR="007C540D" w:rsidRDefault="007C540D" w:rsidP="00F5337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CA432" w14:textId="77777777" w:rsidR="00574C9B" w:rsidRDefault="00282E17">
    <w:pPr>
      <w:pStyle w:val="Header"/>
    </w:pPr>
    <w:r>
      <w:pict w14:anchorId="15A838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004016" o:spid="_x0000_s2060" type="#_x0000_t75" style="position:absolute;left:0;text-align:left;margin-left:0;margin-top:0;width:595.2pt;height:841.9pt;z-index:-251649024;mso-position-horizontal:center;mso-position-horizontal-relative:margin;mso-position-vertical:center;mso-position-vertical-relative:margin" o:allowincell="f">
          <v:imagedata r:id="rId1" o:title="footer onl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E2807" w14:textId="188958A6" w:rsidR="00574C9B" w:rsidRDefault="00D73713">
    <w:pPr>
      <w:pStyle w:val="Header"/>
    </w:pPr>
    <w:r>
      <w:rPr>
        <w:noProof/>
      </w:rPr>
      <w:drawing>
        <wp:inline distT="0" distB="0" distL="0" distR="0" wp14:anchorId="43476589" wp14:editId="7422A2F1">
          <wp:extent cx="5756275" cy="27698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275" cy="2769870"/>
                  </a:xfrm>
                  <a:prstGeom prst="rect">
                    <a:avLst/>
                  </a:prstGeom>
                  <a:noFill/>
                  <a:ln>
                    <a:noFill/>
                  </a:ln>
                </pic:spPr>
              </pic:pic>
            </a:graphicData>
          </a:graphic>
        </wp:inline>
      </w:drawing>
    </w:r>
    <w:r>
      <w:rPr>
        <w:noProof/>
      </w:rPr>
      <w:drawing>
        <wp:inline distT="0" distB="0" distL="0" distR="0" wp14:anchorId="755A6DCF" wp14:editId="1D6721D3">
          <wp:extent cx="5756275" cy="27698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275" cy="2769870"/>
                  </a:xfrm>
                  <a:prstGeom prst="rect">
                    <a:avLst/>
                  </a:prstGeom>
                  <a:noFill/>
                  <a:ln>
                    <a:noFill/>
                  </a:ln>
                </pic:spPr>
              </pic:pic>
            </a:graphicData>
          </a:graphic>
        </wp:inline>
      </w:drawing>
    </w:r>
    <w:r w:rsidR="00282E17">
      <w:pict w14:anchorId="71860D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004017" o:spid="_x0000_s2061" type="#_x0000_t75" style="position:absolute;left:0;text-align:left;margin-left:0;margin-top:0;width:595.2pt;height:841.9pt;z-index:-251648000;mso-position-horizontal:center;mso-position-horizontal-relative:page;mso-position-vertical:top;mso-position-vertical-relative:page" o:allowincell="f">
          <v:imagedata r:id="rId2" o:title="footer only"/>
          <w10:wrap anchorx="page" anchory="page"/>
        </v:shape>
      </w:pict>
    </w:r>
    <w:r w:rsidR="006F45AF">
      <w:rPr>
        <w:noProof/>
      </w:rPr>
      <w:drawing>
        <wp:anchor distT="0" distB="0" distL="114300" distR="114300" simplePos="0" relativeHeight="251657216" behindDoc="0" locked="0" layoutInCell="1" allowOverlap="1" wp14:anchorId="3EBB859F" wp14:editId="3B0200B3">
          <wp:simplePos x="898497" y="453224"/>
          <wp:positionH relativeFrom="page">
            <wp:align>center</wp:align>
          </wp:positionH>
          <wp:positionV relativeFrom="page">
            <wp:posOffset>288290</wp:posOffset>
          </wp:positionV>
          <wp:extent cx="6944398" cy="3344276"/>
          <wp:effectExtent l="0" t="0" r="0" b="8890"/>
          <wp:wrapNone/>
          <wp:docPr id="9" name="Picture 9" title="EESCLogo2021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title="EESCLogo2021_EN"/>
                  <pic:cNvPicPr/>
                </pic:nvPicPr>
                <pic:blipFill>
                  <a:blip r:embed="rId3">
                    <a:extLst>
                      <a:ext uri="{28A0092B-C50C-407E-A947-70E740481C1C}">
                        <a14:useLocalDpi xmlns:a14="http://schemas.microsoft.com/office/drawing/2010/main" val="0"/>
                      </a:ext>
                    </a:extLst>
                  </a:blip>
                  <a:stretch>
                    <a:fillRect/>
                  </a:stretch>
                </pic:blipFill>
                <pic:spPr>
                  <a:xfrm>
                    <a:off x="0" y="0"/>
                    <a:ext cx="6944398" cy="3344276"/>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FB74B" w14:textId="77777777" w:rsidR="00574C9B" w:rsidRDefault="00282E17">
    <w:pPr>
      <w:pStyle w:val="Header"/>
    </w:pPr>
    <w:r>
      <w:pict w14:anchorId="56E1A7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004015" o:spid="_x0000_s2059" type="#_x0000_t75" style="position:absolute;left:0;text-align:left;margin-left:0;margin-top:0;width:595.2pt;height:841.9pt;z-index:-251650048;mso-position-horizontal:center;mso-position-horizontal-relative:margin;mso-position-vertical:center;mso-position-vertical-relative:margin" o:allowincell="f">
          <v:imagedata r:id="rId1" o:title="footer only"/>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A910E" w14:textId="77777777" w:rsidR="00574C9B" w:rsidRDefault="00282E17">
    <w:pPr>
      <w:pStyle w:val="Header"/>
    </w:pPr>
    <w:r>
      <w:pict w14:anchorId="29F6BA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004019" o:spid="_x0000_s2063" type="#_x0000_t75" style="position:absolute;left:0;text-align:left;margin-left:0;margin-top:0;width:595.2pt;height:841.9pt;z-index:-251645952;mso-position-horizontal:center;mso-position-horizontal-relative:margin;mso-position-vertical:center;mso-position-vertical-relative:margin" o:allowincell="f">
          <v:imagedata r:id="rId1" o:title="footer only"/>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CC7D9" w14:textId="77777777" w:rsidR="00574C9B" w:rsidRDefault="00282E17">
    <w:pPr>
      <w:pStyle w:val="Header"/>
    </w:pPr>
    <w:r>
      <w:pict w14:anchorId="79664A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004020" o:spid="_x0000_s2064" type="#_x0000_t75" style="position:absolute;left:0;text-align:left;margin-left:0;margin-top:0;width:595.2pt;height:841.9pt;z-index:-251644928;visibility:hidden;mso-position-horizontal:center;mso-position-horizontal-relative:margin;mso-position-vertical:center;mso-position-vertical-relative:margin" o:allowincell="f">
          <v:imagedata r:id="rId1" o:title="footer only"/>
          <w10:wrap anchorx="margin" anchory="margin"/>
        </v:shape>
      </w:pict>
    </w:r>
    <w:r w:rsidR="006F45AF">
      <w:rPr>
        <w:noProof/>
      </w:rPr>
      <w:drawing>
        <wp:anchor distT="0" distB="0" distL="114300" distR="114300" simplePos="0" relativeHeight="251662336" behindDoc="1" locked="0" layoutInCell="1" allowOverlap="1" wp14:anchorId="643CAEC1" wp14:editId="07091309">
          <wp:simplePos x="0" y="0"/>
          <wp:positionH relativeFrom="page">
            <wp:posOffset>-10571</wp:posOffset>
          </wp:positionH>
          <wp:positionV relativeFrom="page">
            <wp:posOffset>-221993</wp:posOffset>
          </wp:positionV>
          <wp:extent cx="7581265" cy="10898802"/>
          <wp:effectExtent l="0" t="0" r="63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ackground (footer) recto.png"/>
                  <pic:cNvPicPr/>
                </pic:nvPicPr>
                <pic:blipFill>
                  <a:blip r:embed="rId2">
                    <a:extLst>
                      <a:ext uri="{28A0092B-C50C-407E-A947-70E740481C1C}">
                        <a14:useLocalDpi xmlns:a14="http://schemas.microsoft.com/office/drawing/2010/main" val="0"/>
                      </a:ext>
                    </a:extLst>
                  </a:blip>
                  <a:stretch>
                    <a:fillRect/>
                  </a:stretch>
                </pic:blipFill>
                <pic:spPr>
                  <a:xfrm>
                    <a:off x="0" y="0"/>
                    <a:ext cx="7585107" cy="10904325"/>
                  </a:xfrm>
                  <a:prstGeom prst="rect">
                    <a:avLst/>
                  </a:prstGeom>
                </pic:spPr>
              </pic:pic>
            </a:graphicData>
          </a:graphic>
          <wp14:sizeRelH relativeFrom="margin">
            <wp14:pctWidth>0</wp14:pctWidth>
          </wp14:sizeRelH>
          <wp14:sizeRelV relativeFrom="margin">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FED8C" w14:textId="77777777" w:rsidR="00574C9B" w:rsidRDefault="00282E17">
    <w:pPr>
      <w:pStyle w:val="Header"/>
    </w:pPr>
    <w:r>
      <w:pict w14:anchorId="022BE9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004018" o:spid="_x0000_s2062" type="#_x0000_t75" style="position:absolute;left:0;text-align:left;margin-left:0;margin-top:0;width:595.2pt;height:841.9pt;z-index:-251646976;mso-position-horizontal:center;mso-position-horizontal-relative:margin;mso-position-vertical:center;mso-position-vertical-relative:margin" o:allowincell="f">
          <v:imagedata r:id="rId1" o:title="footer only"/>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AF8BA" w14:textId="77777777" w:rsidR="00FA08F8" w:rsidRDefault="00282E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AE0203AC"/>
    <w:lvl w:ilvl="0">
      <w:start w:val="1"/>
      <w:numFmt w:val="decimal"/>
      <w:pStyle w:val="Heading1"/>
      <w:lvlText w:val="%1."/>
      <w:lvlJc w:val="left"/>
      <w:pPr>
        <w:ind w:left="567" w:hanging="567"/>
      </w:pPr>
      <w:rPr>
        <w:rFonts w:hint="default"/>
        <w:b w:val="0"/>
      </w:rPr>
    </w:lvl>
    <w:lvl w:ilvl="1">
      <w:start w:val="1"/>
      <w:numFmt w:val="decimal"/>
      <w:pStyle w:val="Heading2"/>
      <w:lvlText w:val="%1.%2."/>
      <w:lvlJc w:val="left"/>
      <w:pPr>
        <w:ind w:left="567" w:hanging="567"/>
      </w:pPr>
      <w:rPr>
        <w:rFonts w:hint="default"/>
      </w:rPr>
    </w:lvl>
    <w:lvl w:ilvl="2">
      <w:start w:val="1"/>
      <w:numFmt w:val="decimal"/>
      <w:pStyle w:val="Heading3"/>
      <w:lvlText w:val="%1.%2.%3"/>
      <w:lvlJc w:val="left"/>
      <w:pPr>
        <w:ind w:left="0" w:firstLine="0"/>
      </w:pPr>
      <w:rPr>
        <w:rFonts w:hint="default"/>
      </w:rPr>
    </w:lvl>
    <w:lvl w:ilvl="3">
      <w:start w:val="1"/>
      <w:numFmt w:val="decimal"/>
      <w:pStyle w:val="Heading4"/>
      <w:lvlText w:val="%1.%2.%3.%4"/>
      <w:lvlJc w:val="left"/>
      <w:pPr>
        <w:ind w:left="0" w:firstLine="0"/>
      </w:pPr>
      <w:rPr>
        <w:rFonts w:hint="default"/>
      </w:rPr>
    </w:lvl>
    <w:lvl w:ilvl="4">
      <w:start w:val="1"/>
      <w:numFmt w:val="decimal"/>
      <w:pStyle w:val="Heading5"/>
      <w:lvlText w:val="%1.%2.%3.%4.%5"/>
      <w:lvlJc w:val="left"/>
      <w:pPr>
        <w:ind w:left="0" w:firstLine="0"/>
      </w:pPr>
      <w:rPr>
        <w:rFonts w:hint="default"/>
      </w:rPr>
    </w:lvl>
    <w:lvl w:ilvl="5">
      <w:start w:val="1"/>
      <w:numFmt w:val="decimal"/>
      <w:pStyle w:val="Heading6"/>
      <w:lvlText w:val="%1.%2.%3.%4.%5.%6"/>
      <w:lvlJc w:val="left"/>
      <w:pPr>
        <w:ind w:left="0" w:firstLine="0"/>
      </w:pPr>
      <w:rPr>
        <w:rFonts w:hint="default"/>
      </w:rPr>
    </w:lvl>
    <w:lvl w:ilvl="6">
      <w:start w:val="1"/>
      <w:numFmt w:val="decimal"/>
      <w:pStyle w:val="Heading7"/>
      <w:lvlText w:val="%1.%2.%3.%4.%5.%6.%7"/>
      <w:lvlJc w:val="left"/>
      <w:pPr>
        <w:ind w:left="0" w:firstLine="0"/>
      </w:pPr>
      <w:rPr>
        <w:rFonts w:hint="default"/>
      </w:rPr>
    </w:lvl>
    <w:lvl w:ilvl="7">
      <w:start w:val="1"/>
      <w:numFmt w:val="decimal"/>
      <w:pStyle w:val="Heading8"/>
      <w:lvlText w:val="%1.%2.%3.%4.%5.%6.%7.%8"/>
      <w:lvlJc w:val="left"/>
      <w:pPr>
        <w:ind w:left="0" w:firstLine="0"/>
      </w:pPr>
      <w:rPr>
        <w:rFonts w:hint="default"/>
      </w:rPr>
    </w:lvl>
    <w:lvl w:ilvl="8">
      <w:start w:val="1"/>
      <w:numFmt w:val="decimal"/>
      <w:pStyle w:val="Heading9"/>
      <w:lvlText w:val="%1.%2.%3.%4.%5.%6.%7.%8.%9"/>
      <w:lvlJc w:val="left"/>
      <w:pPr>
        <w:ind w:left="0" w:firstLine="0"/>
      </w:pPr>
      <w:rPr>
        <w:rFont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6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370"/>
    <w:rsid w:val="00020389"/>
    <w:rsid w:val="00053D00"/>
    <w:rsid w:val="000A0F3B"/>
    <w:rsid w:val="00126F55"/>
    <w:rsid w:val="0019231D"/>
    <w:rsid w:val="001955B6"/>
    <w:rsid w:val="001C5167"/>
    <w:rsid w:val="001D4F9B"/>
    <w:rsid w:val="001D61AC"/>
    <w:rsid w:val="001E15AA"/>
    <w:rsid w:val="001E2A9E"/>
    <w:rsid w:val="001E3FA1"/>
    <w:rsid w:val="00200E87"/>
    <w:rsid w:val="002039C3"/>
    <w:rsid w:val="00206D14"/>
    <w:rsid w:val="00214BDC"/>
    <w:rsid w:val="00215E81"/>
    <w:rsid w:val="0024727F"/>
    <w:rsid w:val="00282E17"/>
    <w:rsid w:val="002B6A7B"/>
    <w:rsid w:val="00316392"/>
    <w:rsid w:val="003353D7"/>
    <w:rsid w:val="003659F9"/>
    <w:rsid w:val="003D50B8"/>
    <w:rsid w:val="00401DE5"/>
    <w:rsid w:val="00442FFF"/>
    <w:rsid w:val="00481540"/>
    <w:rsid w:val="004871B8"/>
    <w:rsid w:val="004B478F"/>
    <w:rsid w:val="004C4CCA"/>
    <w:rsid w:val="005127DA"/>
    <w:rsid w:val="00574C9B"/>
    <w:rsid w:val="0058411F"/>
    <w:rsid w:val="005961A4"/>
    <w:rsid w:val="005F19D0"/>
    <w:rsid w:val="006125A1"/>
    <w:rsid w:val="00653E7D"/>
    <w:rsid w:val="00662207"/>
    <w:rsid w:val="00667F09"/>
    <w:rsid w:val="00672B2A"/>
    <w:rsid w:val="006B57A6"/>
    <w:rsid w:val="006D40F9"/>
    <w:rsid w:val="006D53A6"/>
    <w:rsid w:val="006F45AF"/>
    <w:rsid w:val="00787837"/>
    <w:rsid w:val="00787ABB"/>
    <w:rsid w:val="007B6C64"/>
    <w:rsid w:val="007C540D"/>
    <w:rsid w:val="00822952"/>
    <w:rsid w:val="00836505"/>
    <w:rsid w:val="00844B87"/>
    <w:rsid w:val="00880AE4"/>
    <w:rsid w:val="0089251B"/>
    <w:rsid w:val="00896FDC"/>
    <w:rsid w:val="008A6DD4"/>
    <w:rsid w:val="008F74D7"/>
    <w:rsid w:val="00901B76"/>
    <w:rsid w:val="00904C42"/>
    <w:rsid w:val="00914683"/>
    <w:rsid w:val="00924C05"/>
    <w:rsid w:val="00937CF2"/>
    <w:rsid w:val="00976645"/>
    <w:rsid w:val="00976F77"/>
    <w:rsid w:val="0098228C"/>
    <w:rsid w:val="009A03EB"/>
    <w:rsid w:val="009B091D"/>
    <w:rsid w:val="009E2100"/>
    <w:rsid w:val="00A15C10"/>
    <w:rsid w:val="00A23851"/>
    <w:rsid w:val="00A25592"/>
    <w:rsid w:val="00A310E1"/>
    <w:rsid w:val="00A36AB0"/>
    <w:rsid w:val="00A90217"/>
    <w:rsid w:val="00A91B12"/>
    <w:rsid w:val="00AB37A3"/>
    <w:rsid w:val="00AC5114"/>
    <w:rsid w:val="00AE68E9"/>
    <w:rsid w:val="00AF5F43"/>
    <w:rsid w:val="00B022DD"/>
    <w:rsid w:val="00B25683"/>
    <w:rsid w:val="00B51901"/>
    <w:rsid w:val="00BD50F6"/>
    <w:rsid w:val="00C073E1"/>
    <w:rsid w:val="00C25647"/>
    <w:rsid w:val="00C6634B"/>
    <w:rsid w:val="00C6695F"/>
    <w:rsid w:val="00C66AEA"/>
    <w:rsid w:val="00C9040A"/>
    <w:rsid w:val="00C91E4D"/>
    <w:rsid w:val="00C97300"/>
    <w:rsid w:val="00CB110A"/>
    <w:rsid w:val="00CB7CD0"/>
    <w:rsid w:val="00CE4363"/>
    <w:rsid w:val="00D039AF"/>
    <w:rsid w:val="00D4086D"/>
    <w:rsid w:val="00D73713"/>
    <w:rsid w:val="00D95232"/>
    <w:rsid w:val="00DA1320"/>
    <w:rsid w:val="00DB7F50"/>
    <w:rsid w:val="00DE30C7"/>
    <w:rsid w:val="00DF400F"/>
    <w:rsid w:val="00DF7334"/>
    <w:rsid w:val="00E15BF4"/>
    <w:rsid w:val="00E2376B"/>
    <w:rsid w:val="00E26935"/>
    <w:rsid w:val="00E27707"/>
    <w:rsid w:val="00E52B04"/>
    <w:rsid w:val="00E661B7"/>
    <w:rsid w:val="00EC315D"/>
    <w:rsid w:val="00F00E69"/>
    <w:rsid w:val="00F10276"/>
    <w:rsid w:val="00F2069F"/>
    <w:rsid w:val="00F43068"/>
    <w:rsid w:val="00F47BD2"/>
    <w:rsid w:val="00F53370"/>
    <w:rsid w:val="00F90BE2"/>
    <w:rsid w:val="00FC0C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5"/>
    <o:shapelayout v:ext="edit">
      <o:idmap v:ext="edit" data="1"/>
    </o:shapelayout>
  </w:shapeDefaults>
  <w:decimalSymbol w:val=","/>
  <w:listSeparator w:val=";"/>
  <w14:docId w14:val="51960F14"/>
  <w15:chartTrackingRefBased/>
  <w15:docId w15:val="{D381F634-0C15-4454-8DBD-75C4E885C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4C9B"/>
    <w:pPr>
      <w:spacing w:after="0" w:line="288" w:lineRule="auto"/>
      <w:jc w:val="both"/>
    </w:pPr>
    <w:rPr>
      <w:rFonts w:ascii="Times New Roman" w:eastAsia="Times New Roman" w:hAnsi="Times New Roman" w:cs="Times New Roman"/>
    </w:rPr>
  </w:style>
  <w:style w:type="paragraph" w:styleId="Heading1">
    <w:name w:val="heading 1"/>
    <w:basedOn w:val="Normal"/>
    <w:next w:val="Normal"/>
    <w:link w:val="Heading1Char"/>
    <w:qFormat/>
    <w:rsid w:val="00F53370"/>
    <w:pPr>
      <w:numPr>
        <w:numId w:val="1"/>
      </w:numPr>
      <w:outlineLvl w:val="0"/>
    </w:pPr>
    <w:rPr>
      <w:kern w:val="28"/>
    </w:rPr>
  </w:style>
  <w:style w:type="paragraph" w:styleId="Heading2">
    <w:name w:val="heading 2"/>
    <w:basedOn w:val="Normal"/>
    <w:next w:val="Normal"/>
    <w:link w:val="Heading2Char"/>
    <w:qFormat/>
    <w:rsid w:val="00F53370"/>
    <w:pPr>
      <w:numPr>
        <w:ilvl w:val="1"/>
        <w:numId w:val="1"/>
      </w:numPr>
      <w:outlineLvl w:val="1"/>
    </w:pPr>
  </w:style>
  <w:style w:type="paragraph" w:styleId="Heading3">
    <w:name w:val="heading 3"/>
    <w:basedOn w:val="Normal"/>
    <w:next w:val="Normal"/>
    <w:link w:val="Heading3Char"/>
    <w:qFormat/>
    <w:rsid w:val="00F53370"/>
    <w:pPr>
      <w:numPr>
        <w:ilvl w:val="2"/>
        <w:numId w:val="1"/>
      </w:numPr>
      <w:outlineLvl w:val="2"/>
    </w:pPr>
  </w:style>
  <w:style w:type="paragraph" w:styleId="Heading4">
    <w:name w:val="heading 4"/>
    <w:basedOn w:val="Normal"/>
    <w:next w:val="Normal"/>
    <w:link w:val="Heading4Char"/>
    <w:qFormat/>
    <w:rsid w:val="00F53370"/>
    <w:pPr>
      <w:numPr>
        <w:ilvl w:val="3"/>
        <w:numId w:val="1"/>
      </w:numPr>
      <w:outlineLvl w:val="3"/>
    </w:pPr>
  </w:style>
  <w:style w:type="paragraph" w:styleId="Heading5">
    <w:name w:val="heading 5"/>
    <w:basedOn w:val="Normal"/>
    <w:next w:val="Normal"/>
    <w:link w:val="Heading5Char"/>
    <w:qFormat/>
    <w:rsid w:val="00F53370"/>
    <w:pPr>
      <w:numPr>
        <w:ilvl w:val="4"/>
        <w:numId w:val="1"/>
      </w:numPr>
      <w:outlineLvl w:val="4"/>
    </w:pPr>
  </w:style>
  <w:style w:type="paragraph" w:styleId="Heading6">
    <w:name w:val="heading 6"/>
    <w:basedOn w:val="Normal"/>
    <w:next w:val="Normal"/>
    <w:link w:val="Heading6Char"/>
    <w:qFormat/>
    <w:rsid w:val="00F53370"/>
    <w:pPr>
      <w:numPr>
        <w:ilvl w:val="5"/>
        <w:numId w:val="1"/>
      </w:numPr>
      <w:outlineLvl w:val="5"/>
    </w:pPr>
  </w:style>
  <w:style w:type="paragraph" w:styleId="Heading7">
    <w:name w:val="heading 7"/>
    <w:basedOn w:val="Normal"/>
    <w:next w:val="Normal"/>
    <w:link w:val="Heading7Char"/>
    <w:qFormat/>
    <w:rsid w:val="00F53370"/>
    <w:pPr>
      <w:numPr>
        <w:ilvl w:val="6"/>
        <w:numId w:val="1"/>
      </w:numPr>
      <w:outlineLvl w:val="6"/>
    </w:pPr>
  </w:style>
  <w:style w:type="paragraph" w:styleId="Heading8">
    <w:name w:val="heading 8"/>
    <w:basedOn w:val="Normal"/>
    <w:next w:val="Normal"/>
    <w:link w:val="Heading8Char"/>
    <w:qFormat/>
    <w:rsid w:val="00F53370"/>
    <w:pPr>
      <w:numPr>
        <w:ilvl w:val="7"/>
        <w:numId w:val="1"/>
      </w:numPr>
      <w:outlineLvl w:val="7"/>
    </w:pPr>
  </w:style>
  <w:style w:type="paragraph" w:styleId="Heading9">
    <w:name w:val="heading 9"/>
    <w:basedOn w:val="Normal"/>
    <w:next w:val="Normal"/>
    <w:link w:val="Heading9Char"/>
    <w:qFormat/>
    <w:rsid w:val="00F53370"/>
    <w:pPr>
      <w:numPr>
        <w:ilvl w:val="8"/>
        <w:numId w:val="1"/>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53370"/>
    <w:rPr>
      <w:rFonts w:ascii="Times New Roman" w:eastAsia="Times New Roman" w:hAnsi="Times New Roman" w:cs="Times New Roman"/>
      <w:kern w:val="28"/>
    </w:rPr>
  </w:style>
  <w:style w:type="character" w:customStyle="1" w:styleId="Heading2Char">
    <w:name w:val="Heading 2 Char"/>
    <w:basedOn w:val="DefaultParagraphFont"/>
    <w:link w:val="Heading2"/>
    <w:rsid w:val="00F53370"/>
    <w:rPr>
      <w:rFonts w:ascii="Times New Roman" w:eastAsia="Times New Roman" w:hAnsi="Times New Roman" w:cs="Times New Roman"/>
    </w:rPr>
  </w:style>
  <w:style w:type="character" w:customStyle="1" w:styleId="Heading3Char">
    <w:name w:val="Heading 3 Char"/>
    <w:basedOn w:val="DefaultParagraphFont"/>
    <w:link w:val="Heading3"/>
    <w:rsid w:val="00F53370"/>
    <w:rPr>
      <w:rFonts w:ascii="Times New Roman" w:eastAsia="Times New Roman" w:hAnsi="Times New Roman" w:cs="Times New Roman"/>
    </w:rPr>
  </w:style>
  <w:style w:type="character" w:customStyle="1" w:styleId="Heading4Char">
    <w:name w:val="Heading 4 Char"/>
    <w:basedOn w:val="DefaultParagraphFont"/>
    <w:link w:val="Heading4"/>
    <w:rsid w:val="00F53370"/>
    <w:rPr>
      <w:rFonts w:ascii="Times New Roman" w:eastAsia="Times New Roman" w:hAnsi="Times New Roman" w:cs="Times New Roman"/>
    </w:rPr>
  </w:style>
  <w:style w:type="character" w:customStyle="1" w:styleId="Heading5Char">
    <w:name w:val="Heading 5 Char"/>
    <w:basedOn w:val="DefaultParagraphFont"/>
    <w:link w:val="Heading5"/>
    <w:rsid w:val="00F53370"/>
    <w:rPr>
      <w:rFonts w:ascii="Times New Roman" w:eastAsia="Times New Roman" w:hAnsi="Times New Roman" w:cs="Times New Roman"/>
    </w:rPr>
  </w:style>
  <w:style w:type="character" w:customStyle="1" w:styleId="Heading6Char">
    <w:name w:val="Heading 6 Char"/>
    <w:basedOn w:val="DefaultParagraphFont"/>
    <w:link w:val="Heading6"/>
    <w:rsid w:val="00F53370"/>
    <w:rPr>
      <w:rFonts w:ascii="Times New Roman" w:eastAsia="Times New Roman" w:hAnsi="Times New Roman" w:cs="Times New Roman"/>
    </w:rPr>
  </w:style>
  <w:style w:type="character" w:customStyle="1" w:styleId="Heading7Char">
    <w:name w:val="Heading 7 Char"/>
    <w:basedOn w:val="DefaultParagraphFont"/>
    <w:link w:val="Heading7"/>
    <w:rsid w:val="00F53370"/>
    <w:rPr>
      <w:rFonts w:ascii="Times New Roman" w:eastAsia="Times New Roman" w:hAnsi="Times New Roman" w:cs="Times New Roman"/>
    </w:rPr>
  </w:style>
  <w:style w:type="character" w:customStyle="1" w:styleId="Heading8Char">
    <w:name w:val="Heading 8 Char"/>
    <w:basedOn w:val="DefaultParagraphFont"/>
    <w:link w:val="Heading8"/>
    <w:rsid w:val="00F53370"/>
    <w:rPr>
      <w:rFonts w:ascii="Times New Roman" w:eastAsia="Times New Roman" w:hAnsi="Times New Roman" w:cs="Times New Roman"/>
    </w:rPr>
  </w:style>
  <w:style w:type="character" w:customStyle="1" w:styleId="Heading9Char">
    <w:name w:val="Heading 9 Char"/>
    <w:basedOn w:val="DefaultParagraphFont"/>
    <w:link w:val="Heading9"/>
    <w:rsid w:val="00F53370"/>
    <w:rPr>
      <w:rFonts w:ascii="Times New Roman" w:eastAsia="Times New Roman" w:hAnsi="Times New Roman" w:cs="Times New Roman"/>
    </w:rPr>
  </w:style>
  <w:style w:type="paragraph" w:styleId="Footer">
    <w:name w:val="footer"/>
    <w:basedOn w:val="Normal"/>
    <w:link w:val="FooterChar"/>
    <w:qFormat/>
    <w:rsid w:val="00F53370"/>
  </w:style>
  <w:style w:type="character" w:customStyle="1" w:styleId="FooterChar">
    <w:name w:val="Footer Char"/>
    <w:basedOn w:val="DefaultParagraphFont"/>
    <w:link w:val="Footer"/>
    <w:rsid w:val="00F53370"/>
    <w:rPr>
      <w:rFonts w:ascii="Times New Roman" w:eastAsia="Times New Roman" w:hAnsi="Times New Roman" w:cs="Times New Roman"/>
    </w:rPr>
  </w:style>
  <w:style w:type="paragraph" w:styleId="FootnoteText">
    <w:name w:val="footnote text"/>
    <w:aliases w:val="stile 1,Footnote,Footnote1,Footnote2,Footnote3,Footnote4,Footnote5,Footnote6,Footnote7,Footnote8,Footnote9,Footnote10,Footnote11,Footnote21,Footnote31,Footnote41,Footnote51,Footnote61,Footnote71,Footnote81,Footnote91,FA,FA Fu,fn"/>
    <w:basedOn w:val="Normal"/>
    <w:link w:val="FootnoteTextChar"/>
    <w:qFormat/>
    <w:rsid w:val="00F53370"/>
    <w:pPr>
      <w:keepLines/>
      <w:spacing w:after="60" w:line="240" w:lineRule="auto"/>
      <w:ind w:left="567" w:hanging="567"/>
    </w:pPr>
    <w:rPr>
      <w:sz w:val="16"/>
    </w:rPr>
  </w:style>
  <w:style w:type="character" w:customStyle="1" w:styleId="FootnoteTextChar">
    <w:name w:val="Footnote Text Char"/>
    <w:aliases w:val="stile 1 Char,Footnote Char,Footnote1 Char,Footnote2 Char,Footnote3 Char,Footnote4 Char,Footnote5 Char,Footnote6 Char,Footnote7 Char,Footnote8 Char,Footnote9 Char,Footnote10 Char,Footnote11 Char,Footnote21 Char,Footnote31 Char,FA Char"/>
    <w:basedOn w:val="DefaultParagraphFont"/>
    <w:link w:val="FootnoteText"/>
    <w:rsid w:val="00F53370"/>
    <w:rPr>
      <w:rFonts w:ascii="Times New Roman" w:eastAsia="Times New Roman" w:hAnsi="Times New Roman" w:cs="Times New Roman"/>
      <w:sz w:val="16"/>
    </w:rPr>
  </w:style>
  <w:style w:type="paragraph" w:styleId="Header">
    <w:name w:val="header"/>
    <w:basedOn w:val="Normal"/>
    <w:link w:val="HeaderChar"/>
    <w:qFormat/>
    <w:rsid w:val="00F53370"/>
  </w:style>
  <w:style w:type="character" w:customStyle="1" w:styleId="HeaderChar">
    <w:name w:val="Header Char"/>
    <w:basedOn w:val="DefaultParagraphFont"/>
    <w:link w:val="Header"/>
    <w:rsid w:val="00F53370"/>
    <w:rPr>
      <w:rFonts w:ascii="Times New Roman" w:eastAsia="Times New Roman" w:hAnsi="Times New Roman" w:cs="Times New Roman"/>
    </w:rPr>
  </w:style>
  <w:style w:type="paragraph" w:customStyle="1" w:styleId="quotes">
    <w:name w:val="quotes"/>
    <w:basedOn w:val="Normal"/>
    <w:next w:val="Normal"/>
    <w:rsid w:val="00F53370"/>
    <w:pPr>
      <w:ind w:left="720"/>
    </w:pPr>
    <w:rPr>
      <w:i/>
    </w:rPr>
  </w:style>
  <w:style w:type="character" w:styleId="FootnoteReference">
    <w:name w:val="footnote reference"/>
    <w:aliases w:val="Footnote symbol"/>
    <w:basedOn w:val="DefaultParagraphFont"/>
    <w:unhideWhenUsed/>
    <w:qFormat/>
    <w:rsid w:val="00F53370"/>
    <w:rPr>
      <w:sz w:val="24"/>
      <w:vertAlign w:val="superscript"/>
    </w:rPr>
  </w:style>
  <w:style w:type="table" w:styleId="TableGrid">
    <w:name w:val="Table Grid"/>
    <w:basedOn w:val="TableNormal"/>
    <w:uiPriority w:val="39"/>
    <w:rsid w:val="00F53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8A6DD4"/>
    <w:rPr>
      <w:color w:val="0000FF"/>
      <w:u w:val="single"/>
    </w:rPr>
  </w:style>
  <w:style w:type="character" w:styleId="CommentReference">
    <w:name w:val="annotation reference"/>
    <w:basedOn w:val="DefaultParagraphFont"/>
    <w:uiPriority w:val="99"/>
    <w:semiHidden/>
    <w:unhideWhenUsed/>
    <w:rsid w:val="00976F77"/>
    <w:rPr>
      <w:sz w:val="16"/>
      <w:szCs w:val="16"/>
    </w:rPr>
  </w:style>
  <w:style w:type="paragraph" w:styleId="CommentText">
    <w:name w:val="annotation text"/>
    <w:basedOn w:val="Normal"/>
    <w:link w:val="CommentTextChar"/>
    <w:uiPriority w:val="99"/>
    <w:semiHidden/>
    <w:unhideWhenUsed/>
    <w:rsid w:val="00976F77"/>
    <w:pPr>
      <w:spacing w:line="240" w:lineRule="auto"/>
    </w:pPr>
    <w:rPr>
      <w:sz w:val="20"/>
      <w:szCs w:val="20"/>
    </w:rPr>
  </w:style>
  <w:style w:type="character" w:customStyle="1" w:styleId="CommentTextChar">
    <w:name w:val="Comment Text Char"/>
    <w:basedOn w:val="DefaultParagraphFont"/>
    <w:link w:val="CommentText"/>
    <w:uiPriority w:val="99"/>
    <w:semiHidden/>
    <w:rsid w:val="00976F7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76F77"/>
    <w:rPr>
      <w:b/>
      <w:bCs/>
    </w:rPr>
  </w:style>
  <w:style w:type="character" w:customStyle="1" w:styleId="CommentSubjectChar">
    <w:name w:val="Comment Subject Char"/>
    <w:basedOn w:val="CommentTextChar"/>
    <w:link w:val="CommentSubject"/>
    <w:uiPriority w:val="99"/>
    <w:semiHidden/>
    <w:rsid w:val="00976F77"/>
    <w:rPr>
      <w:rFonts w:ascii="Times New Roman" w:eastAsia="Times New Roman" w:hAnsi="Times New Roman" w:cs="Times New Roman"/>
      <w:b/>
      <w:bCs/>
      <w:sz w:val="20"/>
      <w:szCs w:val="20"/>
    </w:rPr>
  </w:style>
  <w:style w:type="paragraph" w:styleId="Revision">
    <w:name w:val="Revision"/>
    <w:hidden/>
    <w:uiPriority w:val="99"/>
    <w:semiHidden/>
    <w:rsid w:val="00976F77"/>
    <w:pPr>
      <w:spacing w:after="0" w:line="240" w:lineRule="auto"/>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976F77"/>
    <w:pPr>
      <w:spacing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976F77"/>
    <w:rPr>
      <w:rFonts w:ascii="Segoe UI" w:eastAsia="Times New Roman" w:hAnsi="Segoe UI" w:cs="Times New Roman"/>
      <w:sz w:val="18"/>
      <w:szCs w:val="18"/>
    </w:rPr>
  </w:style>
  <w:style w:type="paragraph" w:styleId="ListParagraph">
    <w:name w:val="List Paragraph"/>
    <w:basedOn w:val="Normal"/>
    <w:uiPriority w:val="34"/>
    <w:qFormat/>
    <w:rsid w:val="00A255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18" Type="http://schemas.openxmlformats.org/officeDocument/2006/relationships/header" Target="header7.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5.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1.jpe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M Document" ma:contentTypeID="0x010100EA97B91038054C99906057A708A1480A00C9C698F2971CE54890F427AFE3EB568F" ma:contentTypeVersion="4" ma:contentTypeDescription="Defines the documents for Document Manager V2" ma:contentTypeScope="" ma:versionID="1ede4366cc334d81186bb4f7d46e0bfd">
  <xsd:schema xmlns:xsd="http://www.w3.org/2001/XMLSchema" xmlns:xs="http://www.w3.org/2001/XMLSchema" xmlns:p="http://schemas.microsoft.com/office/2006/metadata/properties" xmlns:ns2="59ace41b-6786-4ce3-be71-52c27066c6ef" xmlns:ns3="http://schemas.microsoft.com/sharepoint/v3/fields" xmlns:ns4="36007a90-28ab-40da-967b-595e4ec83007" targetNamespace="http://schemas.microsoft.com/office/2006/metadata/properties" ma:root="true" ma:fieldsID="793bace539ab1b60d443041a34a09cc2" ns2:_="" ns3:_="" ns4:_="">
    <xsd:import namespace="59ace41b-6786-4ce3-be71-52c27066c6ef"/>
    <xsd:import namespace="http://schemas.microsoft.com/sharepoint/v3/fields"/>
    <xsd:import namespace="36007a90-28ab-40da-967b-595e4ec83007"/>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2:OriginalSender"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ace41b-6786-4ce3-be71-52c27066c6e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OriginalSender" ma:index="13" nillable="true" ma:displayName="Original Sender" ma:internalName="OriginalSend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ssierNumber" ma:index="15" nillable="true" ma:displayName="Dossier Number" ma:decimals="0" ma:internalName="DossierNumber">
      <xsd:simpleType>
        <xsd:restriction base="dms:Unknown"/>
      </xsd:simpleType>
    </xsd:element>
    <xsd:element name="Rapporteur" ma:index="17" nillable="true" ma:displayName="Rapporteur" ma:internalName="Rapporteur">
      <xsd:simpleType>
        <xsd:restriction base="dms:Text"/>
      </xsd:simpleType>
    </xsd:element>
    <xsd:element name="AdoptionDate" ma:index="18" nillable="true" ma:displayName="Adoption Date" ma:format="DateOnly" ma:internalName="AdoptionDate">
      <xsd:simpleType>
        <xsd:restriction base="dms:DateTime"/>
      </xsd:simpleType>
    </xsd:element>
    <xsd:element name="TaxCatchAll" ma:index="20" nillable="true" ma:displayName="Taxonomy Catch All Column" ma:hidden="true" ma:list="{e2fb5ba9-5e53-4066-9f9c-cd35b339bd62}" ma:internalName="TaxCatchAll" ma:showField="CatchAllData" ma:web="59ace41b-6786-4ce3-be71-52c27066c6ef">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e2fb5ba9-5e53-4066-9f9c-cd35b339bd62}" ma:internalName="TaxCatchAllLabel" ma:readOnly="true" ma:showField="CatchAllDataLabel" ma:web="59ace41b-6786-4ce3-be71-52c27066c6ef">
      <xsd:complexType>
        <xsd:complexContent>
          <xsd:extension base="dms:MultiChoiceLookup">
            <xsd:sequence>
              <xsd:element name="Value" type="dms:Lookup" maxOccurs="unbounded" minOccurs="0" nillable="true"/>
            </xsd:sequence>
          </xsd:extension>
        </xsd:complexContent>
      </xsd:complexType>
    </xsd:element>
    <xsd:element name="MeetingDate" ma:index="26" nillable="true" ma:displayName="Meeting Date" ma:format="DateOnly" ma:internalName="MeetingDate">
      <xsd:simpleType>
        <xsd:restriction base="dms:DateTime"/>
      </xsd:simpleType>
    </xsd:element>
    <xsd:element name="Procedure" ma:index="29" nillable="true" ma:displayName="Procedure" ma:internalName="Procedure">
      <xsd:simpleType>
        <xsd:restriction base="dms:Text"/>
      </xsd:simpleType>
    </xsd:element>
    <xsd:element name="DocumentYear" ma:index="34" ma:displayName="Document Year" ma:decimals="0" ma:internalName="DocumentYear">
      <xsd:simpleType>
        <xsd:restriction base="dms:Unknown"/>
      </xsd:simpleType>
    </xsd:element>
    <xsd:element name="DocumentPart" ma:index="37" nillable="true" ma:displayName="Document Part" ma:decimals="0" ma:internalName="DocumentPart">
      <xsd:simpleType>
        <xsd:restriction base="dms:Unknown"/>
      </xsd:simpleType>
    </xsd:element>
    <xsd:element name="FicheYear" ma:index="42" nillable="true" ma:displayName="Fiche Year" ma:decimals="0" ma:internalName="FicheYear">
      <xsd:simpleType>
        <xsd:restriction base="dms:Unknown"/>
      </xsd:simpleType>
    </xsd:element>
    <xsd:element name="RequestingService" ma:index="43" nillable="true" ma:displayName="Requesting Service" ma:internalName="RequestingService">
      <xsd:simpleType>
        <xsd:restriction base="dms:Text"/>
      </xsd:simpleType>
    </xsd:element>
    <xsd:element name="FicheNumber" ma:index="44" nillable="true" ma:displayName="Fiche Number" ma:decimals="0" ma:internalName="FicheNumber">
      <xsd:simpleType>
        <xsd:restriction base="dms:Unknown"/>
      </xsd:simpleType>
    </xsd:element>
    <xsd:element name="DocumentVersion" ma:index="47"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4" nillable="true" ma:taxonomy="true" ma:internalName="DocumentLanguage_0" ma:taxonomyFieldName="DocumentLanguage" ma:displayName="Document Language" ma:fieldId="{ee5c55ab-e8dd-441f-8840-fdce66906fe3}" ma:sspId="5004ddca-ed1a-45fa-b2df-508b3c5dfc98"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fieldId="{ee5c4bfe-2b62-4831-9131-22edf8f3665c}" ma:sspId="5004ddca-ed1a-45fa-b2df-508b3c5dfc98" ma:termSetId="11d040ac-3a9a-4d4c-b9cf-922342a701d6" ma:anchorId="00000000-0000-0000-0000-000000000000" ma:open="false" ma:isKeyword="false">
      <xsd:complexType>
        <xsd:sequence>
          <xsd:element ref="pc:Terms" minOccurs="0" maxOccurs="1"/>
        </xsd:sequence>
      </xsd:complexType>
    </xsd:element>
    <xsd:element name="DocumentSource_0" ma:index="23" ma:taxonomy="true" ma:internalName="DocumentSource_0" ma:taxonomyFieldName="DocumentSource" ma:displayName="Document Source" ma:fieldId="{ee5c1c29-f257-4aae-8e5e-529c0040e17a}" ma:sspId="5004ddca-ed1a-45fa-b2df-508b3c5dfc98" ma:termSetId="ca143256-a90d-4d26-b249-02646b17c0c5" ma:anchorId="00000000-0000-0000-0000-000000000000" ma:open="false" ma:isKeyword="false">
      <xsd:complexType>
        <xsd:sequence>
          <xsd:element ref="pc:Terms" minOccurs="0" maxOccurs="1"/>
        </xsd:sequence>
      </xsd:complexType>
    </xsd:element>
    <xsd:element name="OriginalLanguage_0" ma:index="27" nillable="true" ma:taxonomy="true" ma:internalName="OriginalLanguage_0" ma:taxonomyFieldName="OriginalLanguage" ma:displayName="Original Language" ma:fieldId="{ee5ce750-ff6c-4875-8192-ef11fb51efba}" ma:taxonomyMulti="true" ma:sspId="5004ddca-ed1a-45fa-b2df-508b3c5dfc98" ma:termSetId="3e8d1f59-71f7-428c-bd68-e1e655ad5441" ma:anchorId="00000000-0000-0000-0000-000000000000" ma:open="false" ma:isKeyword="false">
      <xsd:complexType>
        <xsd:sequence>
          <xsd:element ref="pc:Terms" minOccurs="0" maxOccurs="1"/>
        </xsd:sequence>
      </xsd:complexType>
    </xsd:element>
    <xsd:element name="VersionStatus_0" ma:index="30" ma:taxonomy="true" ma:internalName="VersionStatus_0" ma:taxonomyFieldName="VersionStatus" ma:displayName="Version Status" ma:indexed="true" ma:fieldId="{ee5cb94b-3df1-4df3-b49b-6e47ce2a7e87}" ma:sspId="5004ddca-ed1a-45fa-b2df-508b3c5dfc98" ma:termSetId="adeca67b-2bdd-4d0f-b3af-a690b4c6d95d" ma:anchorId="00000000-0000-0000-0000-000000000000" ma:open="false" ma:isKeyword="false">
      <xsd:complexType>
        <xsd:sequence>
          <xsd:element ref="pc:Terms" minOccurs="0" maxOccurs="1"/>
        </xsd:sequence>
      </xsd:complexType>
    </xsd:element>
    <xsd:element name="DocumentStatus_0" ma:index="32" nillable="true" ma:taxonomy="true" ma:internalName="DocumentStatus_0" ma:taxonomyFieldName="DocumentStatus" ma:displayName="Document Status" ma:fieldId="{ee5cab93-ac4d-4e2f-b298-e5342324388c}" ma:sspId="5004ddca-ed1a-45fa-b2df-508b3c5dfc98" ma:termSetId="54b85ca4-9023-4cbf-8e96-81af7735228f" ma:anchorId="00000000-0000-0000-0000-000000000000" ma:open="false" ma:isKeyword="false">
      <xsd:complexType>
        <xsd:sequence>
          <xsd:element ref="pc:Terms" minOccurs="0" maxOccurs="1"/>
        </xsd:sequence>
      </xsd:complexType>
    </xsd:element>
    <xsd:element name="DocumentType_0" ma:index="35" nillable="true" ma:taxonomy="true" ma:internalName="DocumentType_0" ma:taxonomyFieldName="DocumentType" ma:displayName="Document Type" ma:indexed="true" ma:fieldId="{ee5cf431-2d10-41e6-bd88-1b6bd5b84f5f}" ma:sspId="5004ddca-ed1a-45fa-b2df-508b3c5dfc98" ma:termSetId="67a76952-94e0-437b-9a60-5085083dde02" ma:anchorId="00000000-0000-0000-0000-000000000000" ma:open="false" ma:isKeyword="false">
      <xsd:complexType>
        <xsd:sequence>
          <xsd:element ref="pc:Terms" minOccurs="0" maxOccurs="1"/>
        </xsd:sequence>
      </xsd:complexType>
    </xsd:element>
    <xsd:element name="MeetingName_0" ma:index="38" nillable="true" ma:taxonomy="true" ma:internalName="MeetingName_0" ma:taxonomyFieldName="MeetingName" ma:displayName="Meeting Name" ma:indexed="true" ma:fieldId="{ee5c9b55-8403-4f9e-a156-b6ce5b7b9456}" ma:sspId="5004ddca-ed1a-45fa-b2df-508b3c5dfc98" ma:termSetId="a04e9634-de73-4a41-8cb5-e1efdb89060c" ma:anchorId="00000000-0000-0000-0000-000000000000" ma:open="false" ma:isKeyword="false">
      <xsd:complexType>
        <xsd:sequence>
          <xsd:element ref="pc:Terms" minOccurs="0" maxOccurs="1"/>
        </xsd:sequence>
      </xsd:complexType>
    </xsd:element>
    <xsd:element name="AvailableTranslations_0" ma:index="40" nillable="true" ma:taxonomy="true" ma:internalName="AvailableTranslations_0" ma:taxonomyFieldName="AvailableTranslations" ma:displayName="Available Translations" ma:fieldId="{ee5c7c01-1a65-4138-aa64-80e01e34d799}" ma:taxonomyMulti="true" ma:sspId="5004ddca-ed1a-45fa-b2df-508b3c5dfc98" ma:termSetId="3e8d1f59-71f7-428c-bd68-e1e655ad5441" ma:anchorId="00000000-0000-0000-0000-000000000000" ma:open="false" ma:isKeyword="false">
      <xsd:complexType>
        <xsd:sequence>
          <xsd:element ref="pc:Terms" minOccurs="0" maxOccurs="1"/>
        </xsd:sequence>
      </xsd:complexType>
    </xsd:element>
    <xsd:element name="DossierName_0" ma:index="45" nillable="true" ma:taxonomy="true" ma:internalName="DossierName_0" ma:taxonomyFieldName="DossierName" ma:displayName="Dossier Name" ma:fieldId="{ee5cf7da-503b-4593-8db2-4f0e09c901fd}" ma:sspId="5004ddca-ed1a-45fa-b2df-508b3c5dfc98"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6007a90-28ab-40da-967b-595e4ec83007" elementFormDefault="qualified">
    <xsd:import namespace="http://schemas.microsoft.com/office/2006/documentManagement/types"/>
    <xsd:import namespace="http://schemas.microsoft.com/office/infopath/2007/PartnerControls"/>
    <xsd:element name="MeetingNumber" ma:index="16" nillable="true" ma:displayName="Meeting Number" ma:decimals="0" ma:indexed="true" ma:internalName="MeetingNumber">
      <xsd:simpleType>
        <xsd:restriction base="dms:Unknown"/>
      </xsd:simpleType>
    </xsd:element>
    <xsd:element name="DocumentNumber" ma:index="25"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59ace41b-6786-4ce3-be71-52c27066c6ef">F7M6YNZUATRX-789077548-2839</_dlc_DocId>
    <_dlc_DocIdUrl xmlns="59ace41b-6786-4ce3-be71-52c27066c6ef">
      <Url>http://dm/eesc/2024/_layouts/15/DocIdRedir.aspx?ID=F7M6YNZUATRX-789077548-2839</Url>
      <Description>F7M6YNZUATRX-789077548-2839</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RES</TermName>
          <TermId xmlns="http://schemas.microsoft.com/office/infopath/2007/PartnerControls">9e3e62eb-6858-4bc7-8a50-3453e395fd01</TermId>
        </TermInfo>
      </Terms>
    </DocumentType_0>
    <Procedure xmlns="59ace41b-6786-4ce3-be71-52c27066c6ef"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59ace41b-6786-4ce3-be71-52c27066c6ef">2024-07-12T12:00:00+00:00</ProductionDate>
    <DocumentNumber xmlns="36007a90-28ab-40da-967b-595e4ec83007">2528</DocumentNumber>
    <FicheYear xmlns="59ace41b-6786-4ce3-be71-52c27066c6ef" xsi:nil="true"/>
    <DossierNumber xmlns="59ace41b-6786-4ce3-be71-52c27066c6ef">650</DossierNumber>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59ace41b-6786-4ce3-be71-52c27066c6ef" xsi:nil="true"/>
    <TaxCatchAll xmlns="59ace41b-6786-4ce3-be71-52c27066c6ef">
      <Value>162</Value>
      <Value>66</Value>
      <Value>43</Value>
      <Value>37</Value>
      <Value>36</Value>
      <Value>35</Value>
      <Value>34</Value>
      <Value>33</Value>
      <Value>32</Value>
      <Value>31</Value>
      <Value>30</Value>
      <Value>29</Value>
      <Value>28</Value>
      <Value>27</Value>
      <Value>26</Value>
      <Value>25</Value>
      <Value>24</Value>
      <Value>23</Value>
      <Value>22</Value>
      <Value>21</Value>
      <Value>17</Value>
      <Value>16</Value>
      <Value>14</Value>
      <Value>12</Value>
      <Value>8</Value>
      <Value>6</Value>
      <Value>5</Value>
      <Value>3</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LV</TermName>
          <TermId xmlns="http://schemas.microsoft.com/office/infopath/2007/PartnerControls">46f7e311-5d9f-4663-b433-18aeccb7ace7</TermId>
        </TermInfo>
      </Terms>
    </DocumentLanguage_0>
    <Rapporteur xmlns="59ace41b-6786-4ce3-be71-52c27066c6ef">VARDAKASTANIS</Rapporteur>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DocumentYear xmlns="59ace41b-6786-4ce3-be71-52c27066c6ef">2024</DocumentYear>
    <FicheNumber xmlns="59ace41b-6786-4ce3-be71-52c27066c6ef">7051</FicheNumber>
    <OriginalSender xmlns="59ace41b-6786-4ce3-be71-52c27066c6ef">
      <UserInfo>
        <DisplayName>Gotharde Sintija</DisplayName>
        <AccountId>1521</AccountId>
        <AccountType/>
      </UserInfo>
    </OriginalSender>
    <DocumentPart xmlns="59ace41b-6786-4ce3-be71-52c27066c6ef">0</DocumentPart>
    <AdoptionDate xmlns="59ace41b-6786-4ce3-be71-52c27066c6ef">2024-07-10T12:00:00+00:00</AdoptionDate>
    <RequestingService xmlns="59ace41b-6786-4ce3-be71-52c27066c6ef">Union économique et monétaire et cohésion économique et sociale</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36007a90-28ab-40da-967b-595e4ec83007" xsi:nil="true"/>
    <DossierName_0 xmlns="http://schemas.microsoft.com/sharepoint/v3/fields">
      <Terms xmlns="http://schemas.microsoft.com/office/infopath/2007/PartnerControls">
        <TermInfo xmlns="http://schemas.microsoft.com/office/infopath/2007/PartnerControls">
          <TermName xmlns="http://schemas.microsoft.com/office/infopath/2007/PartnerControls">ECO</TermName>
          <TermId xmlns="http://schemas.microsoft.com/office/infopath/2007/PartnerControls">8df351f5-c957-404c-8cf3-8ffb22c9cba2</TermId>
        </TermInfo>
      </Terms>
    </DossierName_0>
    <DocumentVersion xmlns="59ace41b-6786-4ce3-be71-52c27066c6ef">0</DocumentVersion>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4944F2C-DB80-412D-B343-A6C847E2C54C}">
  <ds:schemaRefs>
    <ds:schemaRef ds:uri="http://schemas.microsoft.com/sharepoint/v3/contenttype/forms"/>
  </ds:schemaRefs>
</ds:datastoreItem>
</file>

<file path=customXml/itemProps2.xml><?xml version="1.0" encoding="utf-8"?>
<ds:datastoreItem xmlns:ds="http://schemas.openxmlformats.org/officeDocument/2006/customXml" ds:itemID="{48FBBF23-00A0-45DF-8F86-37A15DAA51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ace41b-6786-4ce3-be71-52c27066c6ef"/>
    <ds:schemaRef ds:uri="http://schemas.microsoft.com/sharepoint/v3/fields"/>
    <ds:schemaRef ds:uri="36007a90-28ab-40da-967b-595e4ec830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A9A151-3D92-4E38-A182-96E1A42B500F}">
  <ds:schemaRefs>
    <ds:schemaRef ds:uri="http://schemas.microsoft.com/office/2006/metadata/properties"/>
    <ds:schemaRef ds:uri="http://schemas.microsoft.com/office/infopath/2007/PartnerControls"/>
    <ds:schemaRef ds:uri="59ace41b-6786-4ce3-be71-52c27066c6ef"/>
    <ds:schemaRef ds:uri="http://schemas.microsoft.com/sharepoint/v3/fields"/>
    <ds:schemaRef ds:uri="36007a90-28ab-40da-967b-595e4ec83007"/>
  </ds:schemaRefs>
</ds:datastoreItem>
</file>

<file path=customXml/itemProps4.xml><?xml version="1.0" encoding="utf-8"?>
<ds:datastoreItem xmlns:ds="http://schemas.openxmlformats.org/officeDocument/2006/customXml" ds:itemID="{497A590C-C340-4F46-8EAB-5B8D53322A33}">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1350</Words>
  <Characters>7425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AC-Cover page - Opinion Committee - EESC revised model</vt:lpstr>
    </vt:vector>
  </TitlesOfParts>
  <Company>CESE-CdR</Company>
  <LinksUpToDate>false</LinksUpToDate>
  <CharactersWithSpaces>8758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ECO/650 - Nevienu nedrīkst atstāt novārtā! Par iekļaujošu un līdzdalīgu kohēzijas politiku sociālās, ekonomiskās un teritoriālās kohēzijas atbalstam</dc:title>
  <dc:subject>RES</dc:subject>
  <dc:creator>Francois Aude</dc:creator>
  <cp:keywords>EESC-2024-02528-00-00-RES-TRA-EN</cp:keywords>
  <dc:description>Rapporteur: VARDAKASTANIS - Original language: EN - Date of document: 12/07/2024 - Date of meeting:  - External documents:  - Administrator:  MELEAS Georgios</dc:description>
  <cp:lastModifiedBy>Zaccheddu Raffaella</cp:lastModifiedBy>
  <cp:revision>2</cp:revision>
  <dcterms:created xsi:type="dcterms:W3CDTF">2024-07-16T07:38:00Z</dcterms:created>
  <dcterms:modified xsi:type="dcterms:W3CDTF">2024-07-16T07:38:00Z</dcterms:modified>
  <cp:category>ECO/650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11/07/2024, 11/07/2024, 12/04/2024, 17/05/2022</vt:lpwstr>
  </property>
  <property fmtid="{D5CDD505-2E9C-101B-9397-08002B2CF9AE}" pid="4" name="Pref_Time">
    <vt:lpwstr>14:38:50, 13:29:52, 12:01:57, 14:58:36</vt:lpwstr>
  </property>
  <property fmtid="{D5CDD505-2E9C-101B-9397-08002B2CF9AE}" pid="5" name="Pref_User">
    <vt:lpwstr>amett, amett, enied, enied</vt:lpwstr>
  </property>
  <property fmtid="{D5CDD505-2E9C-101B-9397-08002B2CF9AE}" pid="6" name="Pref_FileName">
    <vt:lpwstr>EESC-2024-02528-00-00-RES-TRA-EN-CRR.docx, eesc-2024-02528-00-00-res-ori (1).docx, COR-EESC-2024-01326-16-00-ADMIN-ORI.docx, COR-EESC-2022-02592-00-00-ADMIN-ORI.docx</vt:lpwstr>
  </property>
  <property fmtid="{D5CDD505-2E9C-101B-9397-08002B2CF9AE}" pid="7" name="ContentTypeId">
    <vt:lpwstr>0x010100EA97B91038054C99906057A708A1480A00C9C698F2971CE54890F427AFE3EB568F</vt:lpwstr>
  </property>
  <property fmtid="{D5CDD505-2E9C-101B-9397-08002B2CF9AE}" pid="8" name="_dlc_DocIdItemGuid">
    <vt:lpwstr>d79e5065-0ed4-45eb-92aa-36232e9c1566</vt:lpwstr>
  </property>
  <property fmtid="{D5CDD505-2E9C-101B-9397-08002B2CF9AE}" pid="9" name="AvailableTranslations">
    <vt:lpwstr>43;#CS|72f9705b-0217-4fd3-bea2-cbc7ed80e26e;#32;#HU|6b229040-c589-4408-b4c1-4285663d20a8;#35;#FI|87606a43-d45f-42d6-b8c9-e1a3457db5b7;#16;#DA|5d49c027-8956-412b-aa16-e85a0f96ad0e;#25;#DE|f6b31e5a-26fa-4935-b661-318e46daf27e;#28;#LV|46f7e311-5d9f-4663-b433-18aeccb7ace7;#30;#HR|2f555653-ed1a-4fe6-8362-9082d95989e5;#26;#SK|46d9fce0-ef79-4f71-b89b-cd6aa82426b8;#37;#RO|feb747a2-64cd-4299-af12-4833ddc30497;#27;#SL|98a412ae-eb01-49e9-ae3d-585a81724cfc;#17;#PL|1e03da61-4678-4e07-b136-b5024ca9197b;#22;#BG|1a1b3951-7821-4e6a-85f5-5673fc08bd2c;#31;#NL|55c6556c-b4f4-441d-9acf-c498d4f838bd;#34;#LT|a7ff5ce7-6123-4f68-865a-a57c31810414;#24;#ES|e7a6b05b-ae16-40c8-add9-68b64b03aeba;#21;#SV|c2ed69e7-a339-43d7-8f22-d93680a92aa0;#23;#MT|7df99101-6854-4a26-b53a-b88c0da02c26;#14;#FR|d2afafd3-4c81-4f60-8f52-ee33f2f54ff3;#5;#EN|f2175f21-25d7-44a3-96da-d6a61b075e1b;#36;#PT|50ccc04a-eadd-42ae-a0cb-acaf45f812ba;#29;#EL|6d4f4d51-af9b-4650-94b4-4276bee85c91;#33;#ET|ff6c3f4c-b02c-4c3c-ab07-2c37995a7a0a;#12;#IT|0774613c-01ed-4e5d-a25d-11d2388de825</vt:lpwstr>
  </property>
  <property fmtid="{D5CDD505-2E9C-101B-9397-08002B2CF9AE}" pid="10" name="DocumentType_0">
    <vt:lpwstr>RES|9e3e62eb-6858-4bc7-8a50-3453e395fd01</vt:lpwstr>
  </property>
  <property fmtid="{D5CDD505-2E9C-101B-9397-08002B2CF9AE}" pid="11" name="DossierName_0">
    <vt:lpwstr>ECO|8df351f5-c957-404c-8cf3-8ffb22c9cba2</vt:lpwstr>
  </property>
  <property fmtid="{D5CDD505-2E9C-101B-9397-08002B2CF9AE}" pid="12" name="DocumentSource_0">
    <vt:lpwstr>EESC|422833ec-8d7e-4e65-8e4e-8bed07ffb729</vt:lpwstr>
  </property>
  <property fmtid="{D5CDD505-2E9C-101B-9397-08002B2CF9AE}" pid="13" name="DocumentNumber">
    <vt:i4>2528</vt:i4>
  </property>
  <property fmtid="{D5CDD505-2E9C-101B-9397-08002B2CF9AE}" pid="14" name="DocumentVersion">
    <vt:i4>0</vt:i4>
  </property>
  <property fmtid="{D5CDD505-2E9C-101B-9397-08002B2CF9AE}" pid="15" name="DossierNumber">
    <vt:i4>650</vt:i4>
  </property>
  <property fmtid="{D5CDD505-2E9C-101B-9397-08002B2CF9AE}" pid="16" name="DocumentStatus">
    <vt:lpwstr>3;#TRA|150d2a88-1431-44e6-a8ca-0bb753ab8672</vt:lpwstr>
  </property>
  <property fmtid="{D5CDD505-2E9C-101B-9397-08002B2CF9AE}" pid="17" name="DossierName">
    <vt:lpwstr>66;#ECO|8df351f5-c957-404c-8cf3-8ffb22c9cba2</vt:lpwstr>
  </property>
  <property fmtid="{D5CDD505-2E9C-101B-9397-08002B2CF9AE}" pid="18" name="RequestingService">
    <vt:lpwstr>Union économique et monétaire et cohésion économique et sociale</vt:lpwstr>
  </property>
  <property fmtid="{D5CDD505-2E9C-101B-9397-08002B2CF9AE}" pid="19" name="Confidentiality">
    <vt:lpwstr>6;#Unrestricted|826e22d7-d029-4ec0-a450-0c28ff673572</vt:lpwstr>
  </property>
  <property fmtid="{D5CDD505-2E9C-101B-9397-08002B2CF9AE}" pid="20" name="MeetingName_0">
    <vt:lpwstr/>
  </property>
  <property fmtid="{D5CDD505-2E9C-101B-9397-08002B2CF9AE}" pid="21" name="Confidentiality_0">
    <vt:lpwstr>Unrestricted|826e22d7-d029-4ec0-a450-0c28ff673572</vt:lpwstr>
  </property>
  <property fmtid="{D5CDD505-2E9C-101B-9397-08002B2CF9AE}" pid="22" name="OriginalLanguage">
    <vt:lpwstr>5;#EN|f2175f21-25d7-44a3-96da-d6a61b075e1b</vt:lpwstr>
  </property>
  <property fmtid="{D5CDD505-2E9C-101B-9397-08002B2CF9AE}" pid="23" name="MeetingName">
    <vt:lpwstr/>
  </property>
  <property fmtid="{D5CDD505-2E9C-101B-9397-08002B2CF9AE}" pid="24" name="AvailableTranslations_0">
    <vt:lpwstr>CS|72f9705b-0217-4fd3-bea2-cbc7ed80e26e;HU|6b229040-c589-4408-b4c1-4285663d20a8;DA|5d49c027-8956-412b-aa16-e85a0f96ad0e;DE|f6b31e5a-26fa-4935-b661-318e46daf27e;SL|98a412ae-eb01-49e9-ae3d-585a81724cfc;PL|1e03da61-4678-4e07-b136-b5024ca9197b;NL|55c6556c-b4f4-441d-9acf-c498d4f838bd;LT|a7ff5ce7-6123-4f68-865a-a57c31810414;SV|c2ed69e7-a339-43d7-8f22-d93680a92aa0;MT|7df99101-6854-4a26-b53a-b88c0da02c26;FR|d2afafd3-4c81-4f60-8f52-ee33f2f54ff3;EN|f2175f21-25d7-44a3-96da-d6a61b075e1b;PT|50ccc04a-eadd-42ae-a0cb-acaf45f812ba;EL|6d4f4d51-af9b-4650-94b4-4276bee85c91;IT|0774613c-01ed-4e5d-a25d-11d2388de825</vt:lpwstr>
  </property>
  <property fmtid="{D5CDD505-2E9C-101B-9397-08002B2CF9AE}" pid="25" name="DocumentStatus_0">
    <vt:lpwstr>TRA|150d2a88-1431-44e6-a8ca-0bb753ab8672</vt:lpwstr>
  </property>
  <property fmtid="{D5CDD505-2E9C-101B-9397-08002B2CF9AE}" pid="26" name="OriginalLanguage_0">
    <vt:lpwstr>EN|f2175f21-25d7-44a3-96da-d6a61b075e1b</vt:lpwstr>
  </property>
  <property fmtid="{D5CDD505-2E9C-101B-9397-08002B2CF9AE}" pid="27" name="TaxCatchAll">
    <vt:lpwstr>14;#FR|d2afafd3-4c81-4f60-8f52-ee33f2f54ff3;#34;#LT|a7ff5ce7-6123-4f68-865a-a57c31810414;#32;#HU|6b229040-c589-4408-b4c1-4285663d20a8;#31;#NL|55c6556c-b4f4-441d-9acf-c498d4f838bd;#66;#ECO|8df351f5-c957-404c-8cf3-8ffb22c9cba2;#27;#SL|98a412ae-eb01-49e9-ae3d-585a81724cfc;#25;#DE|f6b31e5a-26fa-4935-b661-318e46daf27e;#23;#MT|7df99101-6854-4a26-b53a-b88c0da02c26;#21;#SV|c2ed69e7-a339-43d7-8f22-d93680a92aa0;#29;#EL|6d4f4d51-af9b-4650-94b4-4276bee85c91;#17;#PL|1e03da61-4678-4e07-b136-b5024ca9197b;#16;#DA|5d49c027-8956-412b-aa16-e85a0f96ad0e;#162;#RES|9e3e62eb-6858-4bc7-8a50-3453e395fd01;#12;#IT|0774613c-01ed-4e5d-a25d-11d2388de825;#8;#Final|ea5e6674-7b27-4bac-b091-73adbb394efe;#43;#CS|72f9705b-0217-4fd3-bea2-cbc7ed80e26e;#5;#EN|f2175f21-25d7-44a3-96da-d6a61b075e1b;#3;#TRA|150d2a88-1431-44e6-a8ca-0bb753ab8672;#36;#PT|50ccc04a-eadd-42ae-a0cb-acaf45f812ba;#1;#EESC|422833ec-8d7e-4e65-8e4e-8bed07ffb729;#6;#Unrestricted|826e22d7-d029-4ec0-a450-0c28ff673572</vt:lpwstr>
  </property>
  <property fmtid="{D5CDD505-2E9C-101B-9397-08002B2CF9AE}" pid="28" name="Rapporteur">
    <vt:lpwstr>VARDAKASTANIS</vt:lpwstr>
  </property>
  <property fmtid="{D5CDD505-2E9C-101B-9397-08002B2CF9AE}" pid="29" name="VersionStatus_0">
    <vt:lpwstr>Final|ea5e6674-7b27-4bac-b091-73adbb394efe</vt:lpwstr>
  </property>
  <property fmtid="{D5CDD505-2E9C-101B-9397-08002B2CF9AE}" pid="30" name="VersionStatus">
    <vt:lpwstr>8;#Final|ea5e6674-7b27-4bac-b091-73adbb394efe</vt:lpwstr>
  </property>
  <property fmtid="{D5CDD505-2E9C-101B-9397-08002B2CF9AE}" pid="31" name="DocumentYear">
    <vt:i4>2024</vt:i4>
  </property>
  <property fmtid="{D5CDD505-2E9C-101B-9397-08002B2CF9AE}" pid="32" name="FicheNumber">
    <vt:i4>7051</vt:i4>
  </property>
  <property fmtid="{D5CDD505-2E9C-101B-9397-08002B2CF9AE}" pid="33" name="DocumentPart">
    <vt:i4>0</vt:i4>
  </property>
  <property fmtid="{D5CDD505-2E9C-101B-9397-08002B2CF9AE}" pid="34" name="DocumentSource">
    <vt:lpwstr>1;#EESC|422833ec-8d7e-4e65-8e4e-8bed07ffb729</vt:lpwstr>
  </property>
  <property fmtid="{D5CDD505-2E9C-101B-9397-08002B2CF9AE}" pid="35" name="AdoptionDate">
    <vt:filetime>2024-07-10T12:00:00Z</vt:filetime>
  </property>
  <property fmtid="{D5CDD505-2E9C-101B-9397-08002B2CF9AE}" pid="36" name="DocumentType">
    <vt:lpwstr>162;#RES|9e3e62eb-6858-4bc7-8a50-3453e395fd01</vt:lpwstr>
  </property>
  <property fmtid="{D5CDD505-2E9C-101B-9397-08002B2CF9AE}" pid="37" name="DocumentLanguage">
    <vt:lpwstr>28;#LV|46f7e311-5d9f-4663-b433-18aeccb7ace7</vt:lpwstr>
  </property>
</Properties>
</file>