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3C76B2" w14:paraId="67CC0CC1" w14:textId="77777777">
        <w:trPr>
          <w:jc w:val="center"/>
        </w:trPr>
        <w:tc>
          <w:tcPr>
            <w:tcW w:w="5000" w:type="pct"/>
            <w:vAlign w:val="center"/>
          </w:tcPr>
          <w:p w14:paraId="5B9E6D18" w14:textId="77777777" w:rsidR="00901B76" w:rsidRPr="00316392" w:rsidRDefault="00901B76" w:rsidP="0095280D">
            <w:pPr>
              <w:jc w:val="center"/>
              <w:rPr>
                <w:b/>
                <w:sz w:val="72"/>
                <w:szCs w:val="72"/>
              </w:rPr>
            </w:pPr>
            <w:r>
              <w:rPr>
                <w:b/>
                <w:sz w:val="72"/>
              </w:rPr>
              <w:t>ÁLLÁSFOGLALÁS</w:t>
            </w:r>
          </w:p>
        </w:tc>
      </w:tr>
      <w:tr w:rsidR="003C76B2" w14:paraId="48A9D167" w14:textId="77777777">
        <w:trPr>
          <w:trHeight w:val="567"/>
          <w:jc w:val="center"/>
        </w:trPr>
        <w:tc>
          <w:tcPr>
            <w:tcW w:w="5000" w:type="pct"/>
            <w:vAlign w:val="center"/>
          </w:tcPr>
          <w:p w14:paraId="1A123C8E" w14:textId="77777777" w:rsidR="00901B76" w:rsidRPr="00316392" w:rsidRDefault="00901B76" w:rsidP="0095280D">
            <w:pPr>
              <w:jc w:val="center"/>
              <w:rPr>
                <w:sz w:val="24"/>
                <w:szCs w:val="24"/>
              </w:rPr>
            </w:pPr>
            <w:r>
              <w:rPr>
                <w:sz w:val="24"/>
              </w:rPr>
              <w:t>Európai Gazdasági és Szociális Bizottság</w:t>
            </w:r>
          </w:p>
        </w:tc>
      </w:tr>
      <w:tr w:rsidR="003C76B2" w14:paraId="7E55DAE4" w14:textId="77777777">
        <w:trPr>
          <w:jc w:val="center"/>
        </w:trPr>
        <w:tc>
          <w:tcPr>
            <w:tcW w:w="5000" w:type="pct"/>
            <w:vAlign w:val="center"/>
          </w:tcPr>
          <w:p w14:paraId="35D330A3" w14:textId="77777777" w:rsidR="005127DA" w:rsidRPr="00316392" w:rsidRDefault="005127DA" w:rsidP="005127DA">
            <w:pPr>
              <w:jc w:val="center"/>
              <w:rPr>
                <w:b/>
                <w:sz w:val="44"/>
                <w:szCs w:val="44"/>
              </w:rPr>
            </w:pPr>
            <w:r>
              <w:rPr>
                <w:b/>
                <w:sz w:val="44"/>
              </w:rPr>
              <w:t>Senkit nem hagyunk hátra!</w:t>
            </w:r>
          </w:p>
          <w:p w14:paraId="01FDBD5A" w14:textId="77777777" w:rsidR="00901B76" w:rsidRPr="00316392" w:rsidRDefault="005127DA" w:rsidP="005127DA">
            <w:pPr>
              <w:jc w:val="center"/>
              <w:rPr>
                <w:b/>
                <w:sz w:val="44"/>
                <w:szCs w:val="44"/>
              </w:rPr>
            </w:pPr>
            <w:r>
              <w:rPr>
                <w:b/>
                <w:sz w:val="44"/>
              </w:rPr>
              <w:t>Inkluzív és részvételen alapuló kohéziós politika a társadalmi, gazdasági és területi kohézió támogatása érdekében</w:t>
            </w:r>
          </w:p>
        </w:tc>
      </w:tr>
      <w:tr w:rsidR="003C76B2" w14:paraId="34B926E9" w14:textId="77777777">
        <w:trPr>
          <w:jc w:val="center"/>
        </w:trPr>
        <w:tc>
          <w:tcPr>
            <w:tcW w:w="5000" w:type="pct"/>
            <w:vAlign w:val="center"/>
          </w:tcPr>
          <w:p w14:paraId="3EBB5BAF" w14:textId="77777777" w:rsidR="00901B76" w:rsidRPr="00316392" w:rsidRDefault="00901B76" w:rsidP="0095280D">
            <w:pPr>
              <w:jc w:val="center"/>
              <w:rPr>
                <w:sz w:val="24"/>
                <w:szCs w:val="24"/>
                <w:lang w:val="en-GB"/>
              </w:rPr>
            </w:pPr>
          </w:p>
        </w:tc>
      </w:tr>
      <w:tr w:rsidR="003C76B2" w14:paraId="012FA58B" w14:textId="77777777">
        <w:trPr>
          <w:jc w:val="center"/>
        </w:trPr>
        <w:tc>
          <w:tcPr>
            <w:tcW w:w="5000" w:type="pct"/>
            <w:vAlign w:val="center"/>
          </w:tcPr>
          <w:p w14:paraId="3E16866C" w14:textId="77777777" w:rsidR="00901B76" w:rsidRPr="00316392" w:rsidRDefault="00901B76" w:rsidP="0095280D">
            <w:pPr>
              <w:overflowPunct w:val="0"/>
              <w:autoSpaceDE w:val="0"/>
              <w:autoSpaceDN w:val="0"/>
              <w:adjustRightInd w:val="0"/>
              <w:jc w:val="center"/>
              <w:textAlignment w:val="baseline"/>
              <w:rPr>
                <w:b/>
                <w:position w:val="24"/>
                <w:sz w:val="24"/>
                <w:szCs w:val="24"/>
              </w:rPr>
            </w:pPr>
            <w:r>
              <w:rPr>
                <w:sz w:val="24"/>
              </w:rPr>
              <w:t>_____________</w:t>
            </w:r>
          </w:p>
        </w:tc>
      </w:tr>
      <w:tr w:rsidR="003C76B2" w14:paraId="28448761" w14:textId="77777777">
        <w:trPr>
          <w:jc w:val="center"/>
        </w:trPr>
        <w:tc>
          <w:tcPr>
            <w:tcW w:w="5000" w:type="pct"/>
            <w:vAlign w:val="center"/>
          </w:tcPr>
          <w:p w14:paraId="1BEE83D7" w14:textId="77777777" w:rsidR="00901B76" w:rsidRPr="00316392" w:rsidRDefault="00901B76" w:rsidP="0095280D">
            <w:pPr>
              <w:jc w:val="center"/>
              <w:rPr>
                <w:sz w:val="24"/>
                <w:szCs w:val="24"/>
                <w:lang w:val="en-GB"/>
              </w:rPr>
            </w:pPr>
          </w:p>
        </w:tc>
      </w:tr>
      <w:tr w:rsidR="003C76B2" w14:paraId="7185CA03" w14:textId="77777777">
        <w:trPr>
          <w:jc w:val="center"/>
        </w:trPr>
        <w:tc>
          <w:tcPr>
            <w:tcW w:w="5000" w:type="pct"/>
            <w:vAlign w:val="center"/>
          </w:tcPr>
          <w:p w14:paraId="680A6306" w14:textId="77777777" w:rsidR="00901B76" w:rsidRPr="00316392" w:rsidRDefault="00901B76" w:rsidP="0095280D">
            <w:pPr>
              <w:jc w:val="center"/>
              <w:rPr>
                <w:b/>
                <w:sz w:val="24"/>
                <w:szCs w:val="24"/>
              </w:rPr>
            </w:pPr>
            <w:r>
              <w:rPr>
                <w:sz w:val="24"/>
              </w:rPr>
              <w:t xml:space="preserve">Előadó: </w:t>
            </w:r>
            <w:r>
              <w:rPr>
                <w:b/>
                <w:sz w:val="24"/>
              </w:rPr>
              <w:t>Ioannis VARDAKASTANIS</w:t>
            </w:r>
          </w:p>
        </w:tc>
      </w:tr>
    </w:tbl>
    <w:p w14:paraId="34A3BBBE" w14:textId="77777777" w:rsidR="00574C9B" w:rsidRPr="00316392" w:rsidRDefault="00574C9B" w:rsidP="00574C9B">
      <w:r>
        <w:rPr>
          <w:noProof/>
          <w:sz w:val="20"/>
        </w:rPr>
        <mc:AlternateContent>
          <mc:Choice Requires="wps">
            <w:drawing>
              <wp:anchor distT="0" distB="0" distL="114300" distR="114300" simplePos="0" relativeHeight="251659264" behindDoc="1" locked="0" layoutInCell="0" allowOverlap="1" wp14:anchorId="5811DBAD" wp14:editId="402552FD">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03E67" w14:textId="77777777" w:rsidR="00574C9B" w:rsidRDefault="00574C9B" w:rsidP="00574C9B">
                            <w:pPr>
                              <w:jc w:val="center"/>
                            </w:pPr>
                            <w:r>
                              <w:rPr>
                                <w:rFonts w:ascii="Arial" w:hAnsi="Arial"/>
                                <w:b/>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1DBAD"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o:allowincell="f" filled="f" stroked="f">
                <v:textbox>
                  <w:txbxContent>
                    <w:p w14:paraId="47703E67" w14:textId="77777777" w:rsidR="00574C9B" w:rsidRDefault="00574C9B" w:rsidP="00574C9B">
                      <w:pPr>
                        <w:jc w:val="center"/>
                      </w:pPr>
                      <w:r>
                        <w:rPr>
                          <w:rFonts w:ascii="Arial" w:hAnsi="Arial"/>
                          <w:b/>
                          <w:sz w:val="48"/>
                        </w:rPr>
                        <w:t>HU</w:t>
                      </w:r>
                    </w:p>
                  </w:txbxContent>
                </v:textbox>
                <w10:wrap anchorx="margin" anchory="page"/>
              </v:shape>
            </w:pict>
          </mc:Fallback>
        </mc:AlternateContent>
      </w:r>
    </w:p>
    <w:p w14:paraId="08663C2C" w14:textId="77777777" w:rsidR="00574C9B" w:rsidRPr="00316392" w:rsidRDefault="00574C9B" w:rsidP="00574C9B">
      <w:pPr>
        <w:rPr>
          <w:lang w:val="en-GB"/>
        </w:rPr>
      </w:pPr>
    </w:p>
    <w:p w14:paraId="551F16C9" w14:textId="77777777" w:rsidR="00574C9B" w:rsidRPr="00316392" w:rsidRDefault="00574C9B" w:rsidP="00574C9B">
      <w:pPr>
        <w:rPr>
          <w:lang w:val="en-GB"/>
        </w:rPr>
        <w:sectPr w:rsidR="00574C9B" w:rsidRPr="00316392" w:rsidSect="00C6634B">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3C76B2" w14:paraId="0AB00F15" w14:textId="77777777">
        <w:tc>
          <w:tcPr>
            <w:tcW w:w="3085" w:type="dxa"/>
          </w:tcPr>
          <w:p w14:paraId="24B9FCB4" w14:textId="77777777" w:rsidR="00901B76" w:rsidRPr="00316392" w:rsidRDefault="00901B76" w:rsidP="00901B76">
            <w:pPr>
              <w:autoSpaceDE w:val="0"/>
              <w:autoSpaceDN w:val="0"/>
              <w:jc w:val="left"/>
              <w:rPr>
                <w:szCs w:val="20"/>
              </w:rPr>
            </w:pPr>
            <w:r>
              <w:lastRenderedPageBreak/>
              <w:t>Jogalap:</w:t>
            </w:r>
          </w:p>
        </w:tc>
        <w:tc>
          <w:tcPr>
            <w:tcW w:w="6204" w:type="dxa"/>
            <w:vAlign w:val="bottom"/>
          </w:tcPr>
          <w:p w14:paraId="0E205D82" w14:textId="77777777" w:rsidR="00901B76" w:rsidRPr="00316392" w:rsidRDefault="00901B76" w:rsidP="00901B76">
            <w:pPr>
              <w:autoSpaceDE w:val="0"/>
              <w:autoSpaceDN w:val="0"/>
              <w:jc w:val="left"/>
            </w:pPr>
            <w:r>
              <w:t>az eljárási szabályzat 52. cikkének (4) bekezdése</w:t>
            </w:r>
          </w:p>
        </w:tc>
      </w:tr>
      <w:tr w:rsidR="003C76B2" w14:paraId="237F7162" w14:textId="77777777">
        <w:tc>
          <w:tcPr>
            <w:tcW w:w="3085" w:type="dxa"/>
          </w:tcPr>
          <w:p w14:paraId="1F3F5DB7" w14:textId="77777777" w:rsidR="00901B76" w:rsidRPr="00316392" w:rsidRDefault="00901B76" w:rsidP="00901B76">
            <w:pPr>
              <w:autoSpaceDE w:val="0"/>
              <w:autoSpaceDN w:val="0"/>
              <w:jc w:val="left"/>
            </w:pPr>
            <w:r>
              <w:t>Elfogadás a plenáris ülésen</w:t>
            </w:r>
          </w:p>
        </w:tc>
        <w:tc>
          <w:tcPr>
            <w:tcW w:w="6204" w:type="dxa"/>
            <w:vAlign w:val="bottom"/>
          </w:tcPr>
          <w:p w14:paraId="5CFAFB16" w14:textId="77777777" w:rsidR="00901B76" w:rsidRPr="00316392" w:rsidRDefault="005127DA" w:rsidP="00901B76">
            <w:pPr>
              <w:autoSpaceDE w:val="0"/>
              <w:autoSpaceDN w:val="0"/>
              <w:jc w:val="left"/>
            </w:pPr>
            <w:r>
              <w:t>2024. 07. 11.</w:t>
            </w:r>
          </w:p>
        </w:tc>
      </w:tr>
      <w:tr w:rsidR="003C76B2" w14:paraId="5212A92A" w14:textId="77777777">
        <w:tc>
          <w:tcPr>
            <w:tcW w:w="3085" w:type="dxa"/>
          </w:tcPr>
          <w:p w14:paraId="6B2D6FC6" w14:textId="77777777" w:rsidR="00901B76" w:rsidRPr="00316392" w:rsidRDefault="00901B76" w:rsidP="00901B76">
            <w:pPr>
              <w:autoSpaceDE w:val="0"/>
              <w:autoSpaceDN w:val="0"/>
              <w:jc w:val="left"/>
            </w:pPr>
            <w:r>
              <w:t>Plenáris ülésszak száma:</w:t>
            </w:r>
          </w:p>
        </w:tc>
        <w:tc>
          <w:tcPr>
            <w:tcW w:w="6204" w:type="dxa"/>
            <w:vAlign w:val="bottom"/>
          </w:tcPr>
          <w:p w14:paraId="49260174" w14:textId="77777777" w:rsidR="00901B76" w:rsidRPr="00316392" w:rsidRDefault="005127DA" w:rsidP="00901B76">
            <w:pPr>
              <w:autoSpaceDE w:val="0"/>
              <w:autoSpaceDN w:val="0"/>
              <w:jc w:val="left"/>
            </w:pPr>
            <w:r>
              <w:t>589.</w:t>
            </w:r>
          </w:p>
        </w:tc>
      </w:tr>
      <w:tr w:rsidR="003C76B2" w14:paraId="1B52FC4D" w14:textId="77777777">
        <w:tc>
          <w:tcPr>
            <w:tcW w:w="3085" w:type="dxa"/>
          </w:tcPr>
          <w:p w14:paraId="30F08AEC" w14:textId="77777777" w:rsidR="00901B76" w:rsidRPr="00316392" w:rsidRDefault="00901B76" w:rsidP="00901B76">
            <w:pPr>
              <w:autoSpaceDE w:val="0"/>
              <w:autoSpaceDN w:val="0"/>
              <w:jc w:val="left"/>
            </w:pPr>
            <w:r>
              <w:t xml:space="preserve">A szavazás eredménye: </w:t>
            </w:r>
            <w:r>
              <w:br/>
              <w:t>(mellette/ellene/tartózkodott)</w:t>
            </w:r>
          </w:p>
        </w:tc>
        <w:tc>
          <w:tcPr>
            <w:tcW w:w="6204" w:type="dxa"/>
            <w:vAlign w:val="bottom"/>
          </w:tcPr>
          <w:p w14:paraId="170E5156" w14:textId="2DFB9226" w:rsidR="00901B76" w:rsidRPr="00316392" w:rsidRDefault="00AF5F43" w:rsidP="00901B76">
            <w:pPr>
              <w:autoSpaceDE w:val="0"/>
              <w:autoSpaceDN w:val="0"/>
              <w:jc w:val="left"/>
            </w:pPr>
            <w:r>
              <w:t>159/2/7</w:t>
            </w:r>
          </w:p>
        </w:tc>
      </w:tr>
    </w:tbl>
    <w:p w14:paraId="59A5E851" w14:textId="77777777" w:rsidR="00AC5114" w:rsidRPr="00316392" w:rsidRDefault="00AC5114" w:rsidP="00574C9B">
      <w:pPr>
        <w:rPr>
          <w:lang w:val="en-GB"/>
        </w:rPr>
      </w:pPr>
    </w:p>
    <w:p w14:paraId="4CCE5D2B" w14:textId="77777777" w:rsidR="00AC5114" w:rsidRPr="00316392" w:rsidRDefault="00AC5114" w:rsidP="00574C9B">
      <w:pPr>
        <w:rPr>
          <w:lang w:val="en-GB"/>
        </w:rPr>
        <w:sectPr w:rsidR="00AC5114" w:rsidRPr="00316392" w:rsidSect="00C6634B">
          <w:headerReference w:type="even" r:id="rId14"/>
          <w:headerReference w:type="default" r:id="rId15"/>
          <w:footerReference w:type="default" r:id="rId16"/>
          <w:headerReference w:type="first" r:id="rId17"/>
          <w:pgSz w:w="11907" w:h="16839" w:code="9"/>
          <w:pgMar w:top="5669" w:right="1418" w:bottom="1418" w:left="1418" w:header="709" w:footer="709" w:gutter="0"/>
          <w:cols w:space="720"/>
          <w:docGrid w:linePitch="360"/>
        </w:sectPr>
      </w:pPr>
    </w:p>
    <w:p w14:paraId="23D90A1F" w14:textId="77777777" w:rsidR="00A25592" w:rsidRPr="009B091D" w:rsidRDefault="00A25592" w:rsidP="00A25592">
      <w:pPr>
        <w:pStyle w:val="Heading1"/>
      </w:pPr>
      <w:r>
        <w:lastRenderedPageBreak/>
        <w:t>Közvetlenül az Európai Bizottság új mandátumának kezdete előtt mi, a civil társadalmi szervezeteket képviselő Európai Gazdasági és Szociális Bizottság, arra kérjük az Európai Unió tagállamait és vezetőit, az európai intézményeket és az uniós polgárokat, hogy az EUMSZ 174. cikkének megfelelően őrizzék és védjék meg az EU gazdasági, társadalmi és területi kohézióját.</w:t>
      </w:r>
    </w:p>
    <w:p w14:paraId="58661663" w14:textId="77777777" w:rsidR="00A25592" w:rsidRPr="009B091D" w:rsidRDefault="00A25592" w:rsidP="00A25592">
      <w:pPr>
        <w:pStyle w:val="Heading2"/>
        <w:numPr>
          <w:ilvl w:val="0"/>
          <w:numId w:val="0"/>
        </w:numPr>
        <w:ind w:left="567" w:hanging="567"/>
        <w:rPr>
          <w:lang w:val="en-GB"/>
        </w:rPr>
      </w:pPr>
    </w:p>
    <w:p w14:paraId="5F75A69C" w14:textId="77777777" w:rsidR="00A25592" w:rsidRPr="009B091D" w:rsidRDefault="00A25592" w:rsidP="00A25592">
      <w:pPr>
        <w:pStyle w:val="Heading1"/>
      </w:pPr>
      <w:r>
        <w:t xml:space="preserve">Meggyőződéssel hangsúlyozzuk, hogy a kohéziós politikában továbbra is szilárd és érvényes alapelv az, hogy „senkit nem hagyunk hátra”, </w:t>
      </w:r>
      <w:proofErr w:type="gramStart"/>
      <w:r>
        <w:t>valamint</w:t>
      </w:r>
      <w:proofErr w:type="gramEnd"/>
      <w:r>
        <w:t xml:space="preserve"> hogy a civil társadalmi partnerek készen állnak arra, hogy egy szilárd uniós beruházási politika révén folytassák a munkát a szóban forgó elv megvalósítása érdekében. </w:t>
      </w:r>
    </w:p>
    <w:p w14:paraId="3F8595EC" w14:textId="77777777" w:rsidR="00A25592" w:rsidRPr="009B091D" w:rsidRDefault="00A25592" w:rsidP="00A25592">
      <w:pPr>
        <w:ind w:left="567" w:hanging="567"/>
        <w:rPr>
          <w:lang w:val="en-GB"/>
        </w:rPr>
      </w:pPr>
    </w:p>
    <w:p w14:paraId="02D5641E" w14:textId="77777777" w:rsidR="00A25592" w:rsidRPr="009B091D" w:rsidRDefault="00A25592" w:rsidP="00A25592">
      <w:pPr>
        <w:pStyle w:val="Heading1"/>
      </w:pPr>
      <w:r>
        <w:t xml:space="preserve">Hangsúlyozzuk, hogy az esélyegyenlőség hiánya káros lehet a hosszú távú, regionális, nemzeti és uniós növekedésre és versenyképességre nézve. A kohéziós politikának ezért </w:t>
      </w:r>
      <w:proofErr w:type="spellStart"/>
      <w:r>
        <w:t>diverzifikáltabbnak</w:t>
      </w:r>
      <w:proofErr w:type="spellEnd"/>
      <w:r>
        <w:t xml:space="preserve"> és rugalmasabbnak, ugyanakkor hitelesnek, stabilnak és világosnak kell lennie, hogy nagyobb figyelmet tudjon fordítani az emberekre, különösen a legkiszolgáltatottabbakra, valamint megfelelőbben kezelni tudja a sokakat fenyegető esélyegyenlőtlenséget.</w:t>
      </w:r>
    </w:p>
    <w:p w14:paraId="4F6E7D28" w14:textId="77777777" w:rsidR="00A25592" w:rsidRPr="009B091D" w:rsidRDefault="00A25592" w:rsidP="00A25592">
      <w:pPr>
        <w:ind w:left="567" w:hanging="567"/>
        <w:rPr>
          <w:lang w:val="en-GB"/>
        </w:rPr>
      </w:pPr>
    </w:p>
    <w:p w14:paraId="5CC45274" w14:textId="77777777" w:rsidR="00A25592" w:rsidRPr="009B091D" w:rsidRDefault="00A25592" w:rsidP="00A25592">
      <w:pPr>
        <w:pStyle w:val="Heading1"/>
      </w:pPr>
      <w:r>
        <w:t xml:space="preserve">Bíráljuk annak a biztosi tárcának a megszüntetését, amelyik elsősorban a kohéziós politikáért felel. </w:t>
      </w:r>
    </w:p>
    <w:p w14:paraId="729C24B3" w14:textId="77777777" w:rsidR="00A25592" w:rsidRPr="009B091D" w:rsidRDefault="00A25592" w:rsidP="00A25592">
      <w:pPr>
        <w:pStyle w:val="Heading1"/>
        <w:numPr>
          <w:ilvl w:val="0"/>
          <w:numId w:val="0"/>
        </w:numPr>
        <w:ind w:left="567" w:hanging="567"/>
        <w:rPr>
          <w:lang w:val="en-GB"/>
        </w:rPr>
      </w:pPr>
    </w:p>
    <w:p w14:paraId="6B38CAD4" w14:textId="77777777" w:rsidR="00A25592" w:rsidRPr="009B091D" w:rsidRDefault="00A25592" w:rsidP="00A25592">
      <w:pPr>
        <w:pStyle w:val="Heading1"/>
      </w:pPr>
      <w:r>
        <w:t>Ellenezzük a kohéziós politika visszaszorítását és azt, hogy azt vészhelyzetek kezelésére szolgáló eszközzé akarják átalakítani.</w:t>
      </w:r>
    </w:p>
    <w:p w14:paraId="7CCA251E" w14:textId="77777777" w:rsidR="00A25592" w:rsidRPr="009B091D" w:rsidRDefault="00A25592" w:rsidP="00A25592">
      <w:pPr>
        <w:ind w:left="567" w:hanging="567"/>
        <w:rPr>
          <w:lang w:val="en-GB"/>
        </w:rPr>
      </w:pPr>
    </w:p>
    <w:p w14:paraId="71FEE4B5" w14:textId="77777777" w:rsidR="00A25592" w:rsidRPr="009B091D" w:rsidRDefault="00A25592" w:rsidP="00A25592">
      <w:pPr>
        <w:pStyle w:val="Heading1"/>
      </w:pPr>
      <w:r>
        <w:t xml:space="preserve">Elutasítjuk azt az elképzelést, hogy a kohéziós politikát hasonló mechanizmussá alakítsák, mint amilyen a Helyreállítási és </w:t>
      </w:r>
      <w:proofErr w:type="spellStart"/>
      <w:r>
        <w:t>Rezilienciaépítési</w:t>
      </w:r>
      <w:proofErr w:type="spellEnd"/>
      <w:r>
        <w:t xml:space="preserve"> Eszköz, amelyre alig vagy egyáltalán nem jellemző az érdekelt felek strukturált részvétele, a megosztott irányítás és a többszintű kormányzás. </w:t>
      </w:r>
    </w:p>
    <w:p w14:paraId="5A98FAD9" w14:textId="77777777" w:rsidR="00A25592" w:rsidRPr="009B091D" w:rsidRDefault="00A25592" w:rsidP="00A25592">
      <w:pPr>
        <w:ind w:left="567" w:hanging="567"/>
        <w:rPr>
          <w:lang w:val="en-GB"/>
        </w:rPr>
      </w:pPr>
    </w:p>
    <w:p w14:paraId="39DC43DA" w14:textId="77777777" w:rsidR="00A25592" w:rsidRPr="009B091D" w:rsidRDefault="00A25592" w:rsidP="00A25592">
      <w:pPr>
        <w:pStyle w:val="Heading1"/>
      </w:pPr>
      <w:r>
        <w:t xml:space="preserve">Támogatjuk a partnerség elvét és azt, hogy egyértelmű szabályokat vezessenek be a civil társadalomnak az uniós </w:t>
      </w:r>
      <w:proofErr w:type="spellStart"/>
      <w:r>
        <w:t>finanszírozású</w:t>
      </w:r>
      <w:proofErr w:type="spellEnd"/>
      <w:r>
        <w:t xml:space="preserve"> műveletek kiválasztásába, irányításába és nyomon követésébe való bevonására.</w:t>
      </w:r>
    </w:p>
    <w:p w14:paraId="5223E70C" w14:textId="77777777" w:rsidR="00A25592" w:rsidRPr="009B091D" w:rsidRDefault="00A25592" w:rsidP="00A25592">
      <w:pPr>
        <w:ind w:left="567" w:hanging="567"/>
        <w:rPr>
          <w:highlight w:val="yellow"/>
          <w:lang w:val="en-GB"/>
        </w:rPr>
      </w:pPr>
    </w:p>
    <w:p w14:paraId="4663A3EE" w14:textId="77777777" w:rsidR="00A25592" w:rsidRPr="009B091D" w:rsidRDefault="00A25592" w:rsidP="00A25592">
      <w:pPr>
        <w:pStyle w:val="Heading1"/>
      </w:pPr>
      <w:r>
        <w:t>Kérjük, hogy a civil társadalom bevonása határozott megfogalmazásban szerepeljen a következő közös rendelkezésekről szóló rendeletben (CPR), amely a kohéziós alapok és más uniós finanszírozás 2027 utáni felhasználását szabályozza, ahogyan azt a 2021–2027-es időszakra vonatkozóan is tette.</w:t>
      </w:r>
    </w:p>
    <w:p w14:paraId="7794C2DD" w14:textId="77777777" w:rsidR="00A25592" w:rsidRPr="009B091D" w:rsidRDefault="00A25592" w:rsidP="00A25592">
      <w:pPr>
        <w:ind w:left="567" w:hanging="567"/>
        <w:rPr>
          <w:lang w:val="en-GB"/>
        </w:rPr>
      </w:pPr>
    </w:p>
    <w:p w14:paraId="21049D96" w14:textId="77777777" w:rsidR="00A25592" w:rsidRPr="009B091D" w:rsidRDefault="00A25592" w:rsidP="00A25592">
      <w:pPr>
        <w:pStyle w:val="Heading1"/>
      </w:pPr>
      <w:r>
        <w:t>Helyi alapú és emberközpontú kohéziós politikát szorgalmazunk.</w:t>
      </w:r>
    </w:p>
    <w:p w14:paraId="491E3C5D" w14:textId="77777777" w:rsidR="00A25592" w:rsidRPr="009B091D" w:rsidRDefault="00A25592" w:rsidP="00A25592">
      <w:pPr>
        <w:ind w:left="567" w:hanging="567"/>
        <w:rPr>
          <w:lang w:val="en-GB"/>
        </w:rPr>
      </w:pPr>
    </w:p>
    <w:p w14:paraId="27FE9075" w14:textId="77777777" w:rsidR="00A25592" w:rsidRPr="009B091D" w:rsidRDefault="00A25592" w:rsidP="00A25592">
      <w:pPr>
        <w:pStyle w:val="Heading2"/>
      </w:pPr>
      <w:r>
        <w:t>A „helyi alapú” azt jelenti, hogy a területi hatásvizsgálatok alapján tiszteletben kell tartani és maradéktalanul figyelembe kell venni a területi jellemzőket.</w:t>
      </w:r>
    </w:p>
    <w:p w14:paraId="6BF895B8" w14:textId="77777777" w:rsidR="00A25592" w:rsidRPr="009B091D" w:rsidRDefault="00A25592" w:rsidP="00A25592">
      <w:pPr>
        <w:ind w:left="567" w:hanging="567"/>
        <w:rPr>
          <w:lang w:val="en-GB"/>
        </w:rPr>
      </w:pPr>
    </w:p>
    <w:p w14:paraId="3A949D0B" w14:textId="77777777" w:rsidR="00A25592" w:rsidRPr="009B091D" w:rsidRDefault="00A25592" w:rsidP="00A25592">
      <w:pPr>
        <w:pStyle w:val="Heading2"/>
      </w:pPr>
      <w:r>
        <w:t>Az „emberközpontú” megközelítésre azért van szükség, hogy elérjük a kívánt eredményeket. Ez a megközelítés teljes mértékben tiszteletben tartja a partnerség elvét, sarokkövét pedig a többszintű kormányzás, a társpartnerség és az alulról építkező megközelítések képezik.</w:t>
      </w:r>
    </w:p>
    <w:p w14:paraId="725989BB" w14:textId="77777777" w:rsidR="00A25592" w:rsidRPr="009B091D" w:rsidRDefault="00A25592" w:rsidP="00A25592">
      <w:pPr>
        <w:ind w:left="567" w:hanging="567"/>
        <w:rPr>
          <w:lang w:val="en-GB"/>
        </w:rPr>
      </w:pPr>
    </w:p>
    <w:p w14:paraId="7005C9DC" w14:textId="77777777" w:rsidR="00A25592" w:rsidRPr="009B091D" w:rsidRDefault="00A25592" w:rsidP="009B091D">
      <w:pPr>
        <w:pStyle w:val="Heading1"/>
      </w:pPr>
      <w:r>
        <w:lastRenderedPageBreak/>
        <w:t>Új lendületet kérünk a kohéziós politikának. Úgy véljük, hogy egy erős, hatékony, rugalmas és megújított kohéziós politika kialakítása érdekében az egyszerű beruházásokon túl bővíteni, korszerűsíteni kell, illetve felül kell vizsgálni az eszközök és megközelítések körét, nagyobb hangsúlyt fektetve a kapacitásokra, a régiók közötti kapcsolatokra, az eredmények hatékonyságára és a kedvezményezettek lehetőségeire. Ehhez elengedhetetlenek az alábbiak:</w:t>
      </w:r>
    </w:p>
    <w:p w14:paraId="291DF1BD" w14:textId="77777777" w:rsidR="00A25592" w:rsidRPr="009B091D" w:rsidRDefault="00A25592" w:rsidP="00A25592">
      <w:pPr>
        <w:ind w:left="567" w:hanging="567"/>
        <w:rPr>
          <w:lang w:val="en-GB"/>
        </w:rPr>
      </w:pPr>
    </w:p>
    <w:p w14:paraId="7CCF9A07" w14:textId="77777777" w:rsidR="00A25592" w:rsidRPr="009B091D" w:rsidRDefault="00A25592" w:rsidP="00A25592">
      <w:pPr>
        <w:pStyle w:val="Heading2"/>
      </w:pPr>
      <w:r>
        <w:t>foglalkozni kell az EU fő strukturális kihívásaival: az alacsony fokú fejlettséggel, a tartós gazdasági stagnálással és a lehetőségek általános hiányával valamennyi régióban, valamint a régiók közötti, illetve a régiókon és a társadalmon belüli egyenlőtlenségekkel;</w:t>
      </w:r>
    </w:p>
    <w:p w14:paraId="4354EB7D" w14:textId="77777777" w:rsidR="00A25592" w:rsidRPr="00316392" w:rsidRDefault="00A25592" w:rsidP="00A25592">
      <w:pPr>
        <w:pStyle w:val="ListParagraph"/>
        <w:ind w:left="567" w:hanging="567"/>
      </w:pPr>
    </w:p>
    <w:p w14:paraId="2BDAF872" w14:textId="77777777" w:rsidR="00A25592" w:rsidRPr="009B091D" w:rsidRDefault="00A25592" w:rsidP="00A25592">
      <w:pPr>
        <w:pStyle w:val="Heading2"/>
      </w:pPr>
      <w:r>
        <w:t xml:space="preserve">nagyobb hangsúlyt kell helyezni olyan területpolitikai stratégiákra, mint amilyen az integrált területi beruházás (ITI) és a </w:t>
      </w:r>
      <w:proofErr w:type="spellStart"/>
      <w:r>
        <w:t>közösségvezérelt</w:t>
      </w:r>
      <w:proofErr w:type="spellEnd"/>
      <w:r>
        <w:t xml:space="preserve"> helyi fejlesztés (CLLD). Ezért a koherenciát szem előtt tartva meg kell erősíteni a helyi, városi és területi önkormányzatok alapkezelési kapacitásait;</w:t>
      </w:r>
    </w:p>
    <w:p w14:paraId="0A7A05AF" w14:textId="77777777" w:rsidR="00A25592" w:rsidRPr="009B091D" w:rsidRDefault="00A25592" w:rsidP="00A25592">
      <w:pPr>
        <w:ind w:left="567" w:hanging="567"/>
        <w:rPr>
          <w:lang w:val="en-GB"/>
        </w:rPr>
      </w:pPr>
    </w:p>
    <w:p w14:paraId="0638BD01" w14:textId="77777777" w:rsidR="00A25592" w:rsidRPr="009B091D" w:rsidRDefault="00A25592" w:rsidP="00A25592">
      <w:pPr>
        <w:pStyle w:val="Heading2"/>
      </w:pPr>
      <w:r>
        <w:t>a legalacsonyabb foglalkoztatási rátával rendelkező csoportokat (nők, fiatalok, fogyatékkal élők, bevándorlók, alacsony iskolai végzettségűek) kell középpontba helyezni, és egyedi képzési, átképzési, továbbképzési és támogatási programokat kell kínálni számukra helyi szinten;</w:t>
      </w:r>
    </w:p>
    <w:p w14:paraId="49B78C34" w14:textId="77777777" w:rsidR="00A25592" w:rsidRPr="009B091D" w:rsidRDefault="00A25592" w:rsidP="00A25592">
      <w:pPr>
        <w:ind w:left="567" w:hanging="567"/>
        <w:rPr>
          <w:lang w:val="en-GB"/>
        </w:rPr>
      </w:pPr>
    </w:p>
    <w:p w14:paraId="218A939D" w14:textId="77777777" w:rsidR="00A25592" w:rsidRPr="009B091D" w:rsidRDefault="00A25592" w:rsidP="00A25592">
      <w:pPr>
        <w:pStyle w:val="Heading2"/>
      </w:pPr>
      <w:r>
        <w:t>folytatni kell az eszközök – többek között a pénzügyi eszközök – szakosodását és diverzifikálását, hogy a kohéziós politika felléphessen a kiszolgáltatott személyek meghatározott csoportjai érdekében és bizonyos régiókban, ahol az ilyen emberek munkaerőpiaci integrációjára nem az általános foglalkoztatási megoldások adnak választ;</w:t>
      </w:r>
    </w:p>
    <w:p w14:paraId="5C4DB704" w14:textId="77777777" w:rsidR="00A25592" w:rsidRPr="009B091D" w:rsidRDefault="00A25592" w:rsidP="00A25592">
      <w:pPr>
        <w:rPr>
          <w:lang w:val="en-GB"/>
        </w:rPr>
      </w:pPr>
    </w:p>
    <w:p w14:paraId="2C72EB26" w14:textId="77777777" w:rsidR="00A25592" w:rsidRPr="009B091D" w:rsidRDefault="00A25592" w:rsidP="00A25592">
      <w:pPr>
        <w:pStyle w:val="Heading2"/>
      </w:pPr>
      <w:r>
        <w:t>az EU előtt álló jelentős demográfiai kihívások hatékony kezelése érdekében támogatni kell a szociális infrastruktúrára irányuló beruházásokat. Ez még inkább fontos azokban a régiókban, ahol fogy a munkaerő, és alacsony a felsőfokú végzettséggel rendelkezők aránya, valamint azokban, ahonnan a fiatalok elvándorolnak;</w:t>
      </w:r>
    </w:p>
    <w:p w14:paraId="4FB3CA59" w14:textId="77777777" w:rsidR="00A25592" w:rsidRPr="009B091D" w:rsidRDefault="00A25592" w:rsidP="00A25592">
      <w:pPr>
        <w:ind w:left="567" w:hanging="567"/>
        <w:rPr>
          <w:lang w:val="en-GB"/>
        </w:rPr>
      </w:pPr>
    </w:p>
    <w:p w14:paraId="3F66A55A" w14:textId="77777777" w:rsidR="00A25592" w:rsidRPr="009B091D" w:rsidRDefault="00A25592" w:rsidP="00A25592">
      <w:pPr>
        <w:pStyle w:val="Heading2"/>
      </w:pPr>
      <w:r>
        <w:t>növelni kell a jogi és adminisztratív akadályok miatt alulfejlett, határon átnyúló munkaerőpiacokban rejlő lehetőségeket. E célból meg kell erősíteni a határon átnyúló és régiók közötti együttműködést, különösen az infrastruktúrafejlesztés és a szociális gazdaság szereplői tevékenységeinek támogatása terén;</w:t>
      </w:r>
    </w:p>
    <w:p w14:paraId="5FE2528C" w14:textId="77777777" w:rsidR="00A25592" w:rsidRPr="009B091D" w:rsidRDefault="00A25592" w:rsidP="00A25592">
      <w:pPr>
        <w:ind w:left="567" w:hanging="567"/>
        <w:rPr>
          <w:lang w:val="en-GB"/>
        </w:rPr>
      </w:pPr>
    </w:p>
    <w:p w14:paraId="0885B16F" w14:textId="77777777" w:rsidR="00A25592" w:rsidRPr="009B091D" w:rsidRDefault="00A25592" w:rsidP="00A25592">
      <w:pPr>
        <w:pStyle w:val="Heading2"/>
      </w:pPr>
      <w:r>
        <w:t>továbbra is védeni kell a kis- és középvállalkozásokat (kkv-k) és fenntarthatóságukat. Ehhez innovatív, ám egyszerű módon a meglévő szabványos európai eszközöket – például az Európai Szociális Alapot, az Európai Regionális Fejlesztési Alapot (ERFA), a Kohéziós Alapot és az igazságos átmenet mechanizmust – kell igénybe venni, hogy a kkv-k könnyen hozzáférjenek a finanszírozáshoz, és hosszú távon kedvező hitelfeltételekhez jussanak;</w:t>
      </w:r>
    </w:p>
    <w:p w14:paraId="0BF4AA5F" w14:textId="77777777" w:rsidR="00A25592" w:rsidRPr="009B091D" w:rsidRDefault="00A25592" w:rsidP="00A25592">
      <w:pPr>
        <w:ind w:left="567" w:hanging="567"/>
        <w:rPr>
          <w:lang w:val="en-GB"/>
        </w:rPr>
      </w:pPr>
    </w:p>
    <w:p w14:paraId="4438B715" w14:textId="77777777" w:rsidR="00A25592" w:rsidRPr="009B091D" w:rsidRDefault="00A25592" w:rsidP="00A25592">
      <w:pPr>
        <w:pStyle w:val="Heading2"/>
      </w:pPr>
      <w:r>
        <w:t>fokozni kell a szinergiákat az igazságos átmenet mechanizmus egészén belül. Meg vagyunk győződve arról, hogy az éghajlat-politikai célkitűzésekhez való alkalmazkodásra irányuló európai regionális politika támogatása érdekében a kohéziós politika továbbra is az EU kulcsfontosságú beruházási politikája kell, hogy legyen. A jelentős károkozás elkerülését célzó elv a biztosíték arra, hogy a beruházások teljes mértékben tiszteletben tartsák a zöld megállapodás célkitűzéseit;</w:t>
      </w:r>
    </w:p>
    <w:p w14:paraId="4ED47FCA" w14:textId="77777777" w:rsidR="00A25592" w:rsidRPr="009B091D" w:rsidRDefault="00A25592" w:rsidP="00A25592">
      <w:pPr>
        <w:ind w:left="567" w:hanging="567"/>
        <w:rPr>
          <w:lang w:val="en-GB"/>
        </w:rPr>
      </w:pPr>
    </w:p>
    <w:p w14:paraId="49373615" w14:textId="77777777" w:rsidR="00A25592" w:rsidRPr="009B091D" w:rsidRDefault="00A25592" w:rsidP="00A25592">
      <w:pPr>
        <w:pStyle w:val="Heading2"/>
      </w:pPr>
      <w:r>
        <w:lastRenderedPageBreak/>
        <w:t xml:space="preserve">tovább kell vizsgálni a </w:t>
      </w:r>
      <w:proofErr w:type="gramStart"/>
      <w:r>
        <w:t>nagyvállalatoknak</w:t>
      </w:r>
      <w:proofErr w:type="gramEnd"/>
      <w:r>
        <w:t xml:space="preserve"> mint a konvergencia fontos tényezőinek a finanszírozását, különös tekintettel a stratégiai technológiákra, melyek finanszírozása az új STEP (Stratégiai Technológiák Európai Platformja) eszközön keresztül valósul meg;</w:t>
      </w:r>
    </w:p>
    <w:p w14:paraId="6622AB54" w14:textId="77777777" w:rsidR="00A25592" w:rsidRPr="009B091D" w:rsidRDefault="00A25592" w:rsidP="00A25592">
      <w:pPr>
        <w:ind w:left="567" w:hanging="567"/>
        <w:rPr>
          <w:lang w:val="en-GB"/>
        </w:rPr>
      </w:pPr>
    </w:p>
    <w:p w14:paraId="5B139E57" w14:textId="77777777" w:rsidR="00A25592" w:rsidRPr="009B091D" w:rsidRDefault="00A25592" w:rsidP="00A25592">
      <w:pPr>
        <w:pStyle w:val="Heading2"/>
      </w:pPr>
      <w:r>
        <w:t>újfajta gazdasági kilátásokat kell teremteni a kevésbé fejlett, periferikus és ritkán lakott vidéki területek, az EU szigetei és a legkülső régiók számára. Foglalkozni kell továbbá a vidéki és városi területek közötti szakadékkal, valamint a városközpontokkal, és meg kell erősíteni a köztük fennálló kapcsolatokat;</w:t>
      </w:r>
    </w:p>
    <w:p w14:paraId="1AAE4DDE" w14:textId="77777777" w:rsidR="00A25592" w:rsidRPr="009B091D" w:rsidRDefault="00A25592" w:rsidP="00A25592">
      <w:pPr>
        <w:ind w:left="567" w:hanging="567"/>
        <w:rPr>
          <w:lang w:val="en-GB"/>
        </w:rPr>
      </w:pPr>
    </w:p>
    <w:p w14:paraId="2BEE0475" w14:textId="77777777" w:rsidR="00A25592" w:rsidRPr="009B091D" w:rsidRDefault="00A25592" w:rsidP="00A25592">
      <w:pPr>
        <w:pStyle w:val="Heading2"/>
      </w:pPr>
      <w:r>
        <w:t>elő kell mozdítani a fejlődési csapdában lévő régiók és területek egyedi szükségleteinek azonosítására és gondos kezelésére irányuló kezdeményezéseket, és segíteni kell nekik kihívásaik leküzdésében;</w:t>
      </w:r>
    </w:p>
    <w:p w14:paraId="652DC8EE" w14:textId="77777777" w:rsidR="00A25592" w:rsidRPr="009B091D" w:rsidRDefault="00A25592" w:rsidP="00A25592">
      <w:pPr>
        <w:ind w:left="567" w:hanging="567"/>
        <w:rPr>
          <w:lang w:val="en-GB"/>
        </w:rPr>
      </w:pPr>
    </w:p>
    <w:p w14:paraId="288236CB" w14:textId="77777777" w:rsidR="00A25592" w:rsidRPr="009B091D" w:rsidRDefault="00A25592" w:rsidP="00A25592">
      <w:pPr>
        <w:pStyle w:val="Heading2"/>
      </w:pPr>
      <w:r>
        <w:t>olyan kohéziós politikát kell elfogadni, amely különböző kulcsfontosságú elemeket tartalmaz, gondolva itt például a megosztott irányításra, a regionális megközelítésre, az előfinanszírozásra és a társfinanszírozási arányokra. A beruházás önmagában nem elegendő. Minden régiónak erős irányítási struktúrákra és megfelelő szakpolitikák kombinációjára van szüksége, amely kihasználja az összes érdekelt féllel megvalósítható szinergiákat. Alulról felfelé építkező megközelítésre van szükségünk. Ezért a beruházásokat gyakran testre szabott reformoknak és polgárbarát szakpolitikáknak kell kísérniük;</w:t>
      </w:r>
    </w:p>
    <w:p w14:paraId="267CC58A" w14:textId="77777777" w:rsidR="00A25592" w:rsidRPr="009B091D" w:rsidRDefault="00A25592" w:rsidP="00A25592">
      <w:pPr>
        <w:ind w:left="567" w:hanging="567"/>
        <w:rPr>
          <w:lang w:val="en-GB"/>
        </w:rPr>
      </w:pPr>
    </w:p>
    <w:p w14:paraId="1BB31707" w14:textId="77777777" w:rsidR="00A25592" w:rsidRPr="009B091D" w:rsidRDefault="00A25592" w:rsidP="00A25592">
      <w:pPr>
        <w:pStyle w:val="Heading2"/>
      </w:pPr>
      <w:r>
        <w:t>a partnerség és a többszintű kormányzás elvének a kohéziós politikában való hatékonyabb érvényre juttatása érdekében szorosabban be kell vonni a szociális partnereket, a civil társadalmat és valamennyi helyi szintű szereplőt. Ez segíthet kezelni a demokráciára nehezedő nyomást azáltal, hogy növeli az uniós politikák elfogadottságát;</w:t>
      </w:r>
    </w:p>
    <w:p w14:paraId="40871D7E" w14:textId="77777777" w:rsidR="00A25592" w:rsidRPr="00316392" w:rsidRDefault="00A25592" w:rsidP="00A25592">
      <w:pPr>
        <w:pStyle w:val="ListParagraph"/>
        <w:ind w:left="567" w:hanging="567"/>
      </w:pPr>
    </w:p>
    <w:p w14:paraId="1A833C39" w14:textId="77777777" w:rsidR="00A25592" w:rsidRPr="009B091D" w:rsidRDefault="00A25592" w:rsidP="00A25592">
      <w:pPr>
        <w:pStyle w:val="Heading2"/>
      </w:pPr>
      <w:r>
        <w:t>meg kell erősíteni a különböző kormányzati szintek, a kedvezményezettek és más nemzeti, regionális és helyi érdekelt felek adminisztratív kapacitását, és személyre szabottabb technikai támogatást kell nyújtani a szakpolitikák tényleges helyi végrehajtásának javításához;</w:t>
      </w:r>
    </w:p>
    <w:p w14:paraId="37AA1B31" w14:textId="77777777" w:rsidR="00A25592" w:rsidRPr="009B091D" w:rsidRDefault="00A25592" w:rsidP="00A25592">
      <w:pPr>
        <w:pStyle w:val="Heading2"/>
        <w:numPr>
          <w:ilvl w:val="0"/>
          <w:numId w:val="0"/>
        </w:numPr>
        <w:ind w:left="567" w:hanging="567"/>
        <w:rPr>
          <w:lang w:val="en-GB"/>
        </w:rPr>
      </w:pPr>
    </w:p>
    <w:p w14:paraId="13E20164" w14:textId="77777777" w:rsidR="00A25592" w:rsidRPr="009B091D" w:rsidRDefault="00A25592" w:rsidP="00A25592">
      <w:pPr>
        <w:pStyle w:val="Heading2"/>
      </w:pPr>
      <w:r>
        <w:t xml:space="preserve">meg kell vizsgálni és figyelembe kell venni a Helyreállítási és </w:t>
      </w:r>
      <w:proofErr w:type="spellStart"/>
      <w:r>
        <w:t>Rezilienciaépítési</w:t>
      </w:r>
      <w:proofErr w:type="spellEnd"/>
      <w:r>
        <w:t xml:space="preserve"> Eszköz kapcsán jelenleg alkalmazott bevált gyakorlatokat, hatékony szakpolitikai intézkedéseket és egyedi finanszírozást, hogy ezek az új kohéziós politika keretében is működni tudjanak. Biztosítanunk kell, hogy a Helyreállítási és </w:t>
      </w:r>
      <w:proofErr w:type="spellStart"/>
      <w:r>
        <w:t>Rezilienciaépítési</w:t>
      </w:r>
      <w:proofErr w:type="spellEnd"/>
      <w:r>
        <w:t xml:space="preserve"> Eszköz forrásainak felhasználása továbbra is teljes mértékben összeegyeztethető legyen a jövőbeli kohéziós politika végrehajtásával, és hogy a Helyreállítási és </w:t>
      </w:r>
      <w:proofErr w:type="spellStart"/>
      <w:r>
        <w:t>Rezilienciaépítési</w:t>
      </w:r>
      <w:proofErr w:type="spellEnd"/>
      <w:r>
        <w:t xml:space="preserve"> Eszköz keretében már elindított beruházásokat és programokat ne függesszék fel az eszköz finanszírozásának a változásai miatt;</w:t>
      </w:r>
    </w:p>
    <w:p w14:paraId="605C23F4" w14:textId="77777777" w:rsidR="00A25592" w:rsidRPr="009B091D" w:rsidRDefault="00A25592" w:rsidP="00A25592">
      <w:pPr>
        <w:pStyle w:val="Heading2"/>
        <w:numPr>
          <w:ilvl w:val="0"/>
          <w:numId w:val="0"/>
        </w:numPr>
        <w:ind w:left="567" w:hanging="567"/>
        <w:rPr>
          <w:lang w:val="en-GB"/>
        </w:rPr>
      </w:pPr>
    </w:p>
    <w:p w14:paraId="49DC448C" w14:textId="77777777" w:rsidR="00A25592" w:rsidRPr="009B091D" w:rsidRDefault="00A25592" w:rsidP="00A25592">
      <w:pPr>
        <w:pStyle w:val="Heading2"/>
      </w:pPr>
      <w:r>
        <w:t xml:space="preserve">a kohéziós célokat mélyebben be kell építeni az európai szemeszterbe; </w:t>
      </w:r>
    </w:p>
    <w:p w14:paraId="223E80D5" w14:textId="77777777" w:rsidR="00A25592" w:rsidRPr="009B091D" w:rsidRDefault="00A25592" w:rsidP="00A25592">
      <w:pPr>
        <w:pStyle w:val="Heading2"/>
        <w:numPr>
          <w:ilvl w:val="0"/>
          <w:numId w:val="0"/>
        </w:numPr>
        <w:ind w:left="567" w:hanging="567"/>
        <w:rPr>
          <w:lang w:val="en-GB"/>
        </w:rPr>
      </w:pPr>
    </w:p>
    <w:p w14:paraId="52E13A47" w14:textId="77777777" w:rsidR="00A25592" w:rsidRPr="009B091D" w:rsidRDefault="00A25592" w:rsidP="00A25592">
      <w:pPr>
        <w:pStyle w:val="Heading2"/>
      </w:pPr>
      <w:r>
        <w:t>ambiciózusabbá kell tenni a többéves pénzügyi keret teljes költségvetését, és megfelelő finanszírozást kell biztosítani a kohéziós politika számára, többek között a jövőben szükséges uniós védelmi beruházásokra és egy 27-nél több tagú Európai Unióra való tekintettel. Az Unióra, valamint annak gazdasági, társadalmi és területi kohéziójára, jólétére és versenyképességére irányuló beruházás nem valósítható meg az EU bruttó nemzeti jövedelmének csupán 1%-</w:t>
      </w:r>
      <w:proofErr w:type="spellStart"/>
      <w:r>
        <w:t>ával</w:t>
      </w:r>
      <w:proofErr w:type="spellEnd"/>
      <w:r>
        <w:t>;</w:t>
      </w:r>
    </w:p>
    <w:p w14:paraId="258599E6" w14:textId="77777777" w:rsidR="00A25592" w:rsidRPr="009B091D" w:rsidRDefault="00A25592" w:rsidP="00A25592">
      <w:pPr>
        <w:pStyle w:val="Heading2"/>
        <w:numPr>
          <w:ilvl w:val="0"/>
          <w:numId w:val="0"/>
        </w:numPr>
        <w:ind w:left="567" w:hanging="567"/>
        <w:rPr>
          <w:lang w:val="en-GB"/>
        </w:rPr>
      </w:pPr>
    </w:p>
    <w:p w14:paraId="116DD9CF" w14:textId="77777777" w:rsidR="00A25592" w:rsidRPr="009B091D" w:rsidRDefault="00A25592" w:rsidP="00A25592">
      <w:pPr>
        <w:pStyle w:val="Heading2"/>
      </w:pPr>
      <w:r>
        <w:lastRenderedPageBreak/>
        <w:t>a jövőbeli bővítések kapcsán ügyelni kell arra, hogy a következő programozási időszakban megfelelő finanszírozás álljon rendelkezésre annak érdekében, hogy a csatlakozó tagállamok integrációja zökkenőmentes legyen, és ne veszélyeztesse a jelenlegi fejlődő régiók beruházásait.</w:t>
      </w:r>
    </w:p>
    <w:p w14:paraId="3E499817" w14:textId="77777777" w:rsidR="00A25592" w:rsidRPr="00316392" w:rsidRDefault="00A25592" w:rsidP="00A25592">
      <w:pPr>
        <w:pStyle w:val="ListParagraph"/>
        <w:ind w:left="567" w:hanging="567"/>
      </w:pPr>
    </w:p>
    <w:p w14:paraId="285C858C" w14:textId="77777777" w:rsidR="00A25592" w:rsidRPr="009B091D" w:rsidRDefault="00A25592" w:rsidP="00A25592">
      <w:pPr>
        <w:pStyle w:val="Heading1"/>
        <w:keepNext/>
        <w:keepLines/>
        <w:rPr>
          <w:b/>
          <w:bCs/>
        </w:rPr>
      </w:pPr>
      <w:r>
        <w:rPr>
          <w:b/>
        </w:rPr>
        <w:t>A civil társadalom képviselőiként mindent meg fogunk tenni annak érdekében, hogy megőrizzük a kohéziós politika alapelveit, és biztosítsuk, hogy továbbra is a kohéziós politika legyen az a kapocs, amely összetartja Európát.</w:t>
      </w:r>
    </w:p>
    <w:p w14:paraId="007C0183" w14:textId="77777777" w:rsidR="00A25592" w:rsidRPr="009B091D" w:rsidRDefault="00A25592" w:rsidP="00A25592">
      <w:pPr>
        <w:keepNext/>
        <w:keepLines/>
        <w:ind w:left="567" w:hanging="567"/>
        <w:rPr>
          <w:lang w:val="en-GB"/>
        </w:rPr>
      </w:pPr>
    </w:p>
    <w:p w14:paraId="3052B42A" w14:textId="77777777" w:rsidR="00A25592" w:rsidRPr="009B091D" w:rsidRDefault="00A25592" w:rsidP="00A25592">
      <w:pPr>
        <w:keepNext/>
        <w:keepLines/>
      </w:pPr>
      <w:r>
        <w:t>Kelt Brüsszelben, 2024. július 11-én.</w:t>
      </w:r>
    </w:p>
    <w:p w14:paraId="6FD6843A" w14:textId="77777777" w:rsidR="00901B76" w:rsidRPr="009B091D" w:rsidRDefault="00901B76" w:rsidP="00672B2A">
      <w:pPr>
        <w:rPr>
          <w:lang w:val="en-GB"/>
        </w:rPr>
      </w:pPr>
    </w:p>
    <w:p w14:paraId="139B89AA" w14:textId="77777777" w:rsidR="00901B76" w:rsidRPr="009B091D" w:rsidRDefault="00901B76" w:rsidP="00901B76">
      <w:pPr>
        <w:rPr>
          <w:lang w:val="en-GB"/>
        </w:rPr>
      </w:pPr>
    </w:p>
    <w:p w14:paraId="50FCFFDF" w14:textId="77777777" w:rsidR="00901B76" w:rsidRPr="009B091D" w:rsidRDefault="00901B76" w:rsidP="00901B76">
      <w:pPr>
        <w:rPr>
          <w:i/>
          <w:iCs/>
        </w:rPr>
      </w:pPr>
      <w:r>
        <w:rPr>
          <w:i/>
        </w:rPr>
        <w:t>az Európai Gazdasági és Szociális Bizottság elnöke</w:t>
      </w:r>
    </w:p>
    <w:p w14:paraId="14F0E1EF" w14:textId="77777777" w:rsidR="00901B76" w:rsidRPr="009B091D" w:rsidRDefault="00F47BD2" w:rsidP="00901B76">
      <w:r>
        <w:t>Oliver Röpke</w:t>
      </w:r>
    </w:p>
    <w:p w14:paraId="78185215" w14:textId="77777777" w:rsidR="00F53370" w:rsidRPr="00316392" w:rsidRDefault="00901B76">
      <w:pPr>
        <w:jc w:val="center"/>
      </w:pPr>
      <w:r>
        <w:t>_____________</w:t>
      </w:r>
    </w:p>
    <w:sectPr w:rsidR="00F53370" w:rsidRPr="00316392" w:rsidSect="009B091D">
      <w:headerReference w:type="default" r:id="rId18"/>
      <w:footerReference w:type="default" r:id="rId19"/>
      <w:pgSz w:w="11907" w:h="16839" w:code="9"/>
      <w:pgMar w:top="1304" w:right="1418" w:bottom="1304"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8A33" w14:textId="77777777" w:rsidR="007C540D" w:rsidRDefault="007C540D" w:rsidP="00F53370">
      <w:pPr>
        <w:spacing w:line="240" w:lineRule="auto"/>
      </w:pPr>
      <w:r>
        <w:separator/>
      </w:r>
    </w:p>
  </w:endnote>
  <w:endnote w:type="continuationSeparator" w:id="0">
    <w:p w14:paraId="22DE0AFC" w14:textId="77777777" w:rsidR="007C540D" w:rsidRDefault="007C540D"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FC4C" w14:textId="77777777" w:rsidR="00574C9B" w:rsidRDefault="0057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DF35" w14:textId="4FB74F4D" w:rsidR="0084105C" w:rsidRPr="003065C9" w:rsidRDefault="00C6634B" w:rsidP="00C6634B">
    <w:pPr>
      <w:pStyle w:val="Footer"/>
      <w:jc w:val="left"/>
    </w:pPr>
    <w:r>
      <w:t xml:space="preserve">ECO/650 – EESC-2024-02528-00-00-RES-TRA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fldSimple w:instr=" NUMPAGES ">
      <w:r w:rsidR="001A0DC3">
        <w:rPr>
          <w:noProof/>
        </w:rPr>
        <w:instrText>6</w:instrText>
      </w:r>
    </w:fldSimple>
    <w:r>
      <w:instrText xml:space="preserve"> - 2 </w:instrText>
    </w:r>
    <w:r>
      <w:fldChar w:fldCharType="separate"/>
    </w:r>
    <w:r w:rsidR="001A0DC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D9743" w14:textId="77777777" w:rsidR="007C540D" w:rsidRDefault="007C540D" w:rsidP="00F53370">
      <w:pPr>
        <w:spacing w:line="240" w:lineRule="auto"/>
      </w:pPr>
      <w:r>
        <w:separator/>
      </w:r>
    </w:p>
  </w:footnote>
  <w:footnote w:type="continuationSeparator" w:id="0">
    <w:p w14:paraId="2B2E20D1" w14:textId="77777777" w:rsidR="007C540D" w:rsidRDefault="007C540D"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AAA7" w14:textId="77777777" w:rsidR="00574C9B" w:rsidRDefault="001A0DC3">
    <w:pPr>
      <w:pStyle w:val="Header"/>
    </w:pPr>
    <w:r>
      <w:pict w14:anchorId="4A498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6" o:spid="_x0000_s2060" type="#_x0000_t75" style="position:absolute;left:0;text-align:left;margin-left:0;margin-top:0;width:595.2pt;height:841.9pt;z-index:-251649024;mso-position-horizontal:center;mso-position-horizontal-relative:margin;mso-position-vertical:center;mso-position-vertical-relative:margin" o:allowincell="f">
          <v:imagedata r:id="rId1" o:title="footer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BC29" w14:textId="3E3B07E2" w:rsidR="00574C9B" w:rsidRDefault="00A47332">
    <w:pPr>
      <w:pStyle w:val="Header"/>
    </w:pPr>
    <w:r>
      <w:rPr>
        <w:noProof/>
      </w:rPr>
      <w:drawing>
        <wp:anchor distT="0" distB="0" distL="114300" distR="114300" simplePos="0" relativeHeight="251673600" behindDoc="0" locked="0" layoutInCell="1" allowOverlap="1" wp14:anchorId="213900EA" wp14:editId="40338626">
          <wp:simplePos x="0" y="0"/>
          <wp:positionH relativeFrom="page">
            <wp:posOffset>286385</wp:posOffset>
          </wp:positionH>
          <wp:positionV relativeFrom="page">
            <wp:posOffset>250874</wp:posOffset>
          </wp:positionV>
          <wp:extent cx="6944398" cy="334427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1A0DC3">
      <w:pict w14:anchorId="023F5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7" o:spid="_x0000_s2061" type="#_x0000_t75" style="position:absolute;left:0;text-align:left;margin-left:0;margin-top:0;width:595.2pt;height:841.9pt;z-index:-251648000;mso-position-horizontal:center;mso-position-horizontal-relative:page;mso-position-vertical:top;mso-position-vertical-relative:page" o:allowincell="f">
          <v:imagedata r:id="rId2" o:title="footer only"/>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BF14" w14:textId="77777777" w:rsidR="00574C9B" w:rsidRDefault="001A0DC3">
    <w:pPr>
      <w:pStyle w:val="Header"/>
    </w:pPr>
    <w:r>
      <w:pict w14:anchorId="07A94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5" o:spid="_x0000_s2059" type="#_x0000_t75" style="position:absolute;left:0;text-align:left;margin-left:0;margin-top:0;width:595.2pt;height:841.9pt;z-index:-251650048;mso-position-horizontal:center;mso-position-horizontal-relative:margin;mso-position-vertical:center;mso-position-vertical-relative:margin" o:allowincell="f">
          <v:imagedata r:id="rId1" o:title="footer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7A52" w14:textId="77777777" w:rsidR="00574C9B" w:rsidRDefault="001A0DC3">
    <w:pPr>
      <w:pStyle w:val="Header"/>
    </w:pPr>
    <w:r>
      <w:pict w14:anchorId="0511F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9" o:spid="_x0000_s2063" type="#_x0000_t75" style="position:absolute;left:0;text-align:left;margin-left:0;margin-top:0;width:595.2pt;height:841.9pt;z-index:-251645952;mso-position-horizontal:center;mso-position-horizontal-relative:margin;mso-position-vertical:center;mso-position-vertical-relative:margin" o:allowincell="f">
          <v:imagedata r:id="rId1" o:title="footer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955C" w14:textId="77777777" w:rsidR="00574C9B" w:rsidRDefault="001A0DC3">
    <w:pPr>
      <w:pStyle w:val="Header"/>
    </w:pPr>
    <w:r>
      <w:pict w14:anchorId="1E54E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20" o:spid="_x0000_s2064" type="#_x0000_t75" style="position:absolute;left:0;text-align:left;margin-left:0;margin-top:0;width:595.2pt;height:841.9pt;z-index:-251644928;visibility:hidden;mso-position-horizontal:center;mso-position-horizontal-relative:margin;mso-position-vertical:center;mso-position-vertical-relative:margin" o:allowincell="f">
          <v:imagedata r:id="rId1" o:title="footer only"/>
          <w10:wrap anchorx="margin" anchory="margin"/>
        </v:shape>
      </w:pict>
    </w:r>
    <w:r w:rsidR="00C74FE5">
      <w:rPr>
        <w:noProof/>
      </w:rPr>
      <w:drawing>
        <wp:anchor distT="0" distB="0" distL="114300" distR="114300" simplePos="0" relativeHeight="251662336" behindDoc="1" locked="0" layoutInCell="1" allowOverlap="1" wp14:anchorId="3B87A2F7" wp14:editId="5D83A057">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2">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A5A5" w14:textId="77777777" w:rsidR="00574C9B" w:rsidRDefault="001A0DC3">
    <w:pPr>
      <w:pStyle w:val="Header"/>
    </w:pPr>
    <w:r>
      <w:pict w14:anchorId="1DAB1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8" o:spid="_x0000_s2062" type="#_x0000_t75" style="position:absolute;left:0;text-align:left;margin-left:0;margin-top:0;width:595.2pt;height:841.9pt;z-index:-251646976;mso-position-horizontal:center;mso-position-horizontal-relative:margin;mso-position-vertical:center;mso-position-vertical-relative:margin" o:allowincell="f">
          <v:imagedata r:id="rId1" o:title="footer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06EB" w14:textId="77777777" w:rsidR="00FA08F8" w:rsidRDefault="001A0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20389"/>
    <w:rsid w:val="00053D00"/>
    <w:rsid w:val="000A0F3B"/>
    <w:rsid w:val="00126F55"/>
    <w:rsid w:val="0019231D"/>
    <w:rsid w:val="001955B6"/>
    <w:rsid w:val="001A0DC3"/>
    <w:rsid w:val="001C5167"/>
    <w:rsid w:val="001D61AC"/>
    <w:rsid w:val="001E15AA"/>
    <w:rsid w:val="001E2A9E"/>
    <w:rsid w:val="001E3FA1"/>
    <w:rsid w:val="00200E87"/>
    <w:rsid w:val="002039C3"/>
    <w:rsid w:val="00206D14"/>
    <w:rsid w:val="00214BDC"/>
    <w:rsid w:val="00215E81"/>
    <w:rsid w:val="0023291F"/>
    <w:rsid w:val="0024727F"/>
    <w:rsid w:val="002B6A7B"/>
    <w:rsid w:val="00316392"/>
    <w:rsid w:val="003353D7"/>
    <w:rsid w:val="003659F9"/>
    <w:rsid w:val="003C76B2"/>
    <w:rsid w:val="003D50B8"/>
    <w:rsid w:val="00401DE5"/>
    <w:rsid w:val="00442FFF"/>
    <w:rsid w:val="00481540"/>
    <w:rsid w:val="004871B8"/>
    <w:rsid w:val="004B478F"/>
    <w:rsid w:val="005127DA"/>
    <w:rsid w:val="00574C9B"/>
    <w:rsid w:val="0058411F"/>
    <w:rsid w:val="005961A4"/>
    <w:rsid w:val="005F19D0"/>
    <w:rsid w:val="006125A1"/>
    <w:rsid w:val="00653E7D"/>
    <w:rsid w:val="00662207"/>
    <w:rsid w:val="00667F09"/>
    <w:rsid w:val="00671561"/>
    <w:rsid w:val="00672B2A"/>
    <w:rsid w:val="006B57A6"/>
    <w:rsid w:val="006D40F9"/>
    <w:rsid w:val="006D53A6"/>
    <w:rsid w:val="00787837"/>
    <w:rsid w:val="00787ABB"/>
    <w:rsid w:val="007B6C64"/>
    <w:rsid w:val="007C540D"/>
    <w:rsid w:val="00822952"/>
    <w:rsid w:val="00836505"/>
    <w:rsid w:val="00844B87"/>
    <w:rsid w:val="0089251B"/>
    <w:rsid w:val="008A6DD4"/>
    <w:rsid w:val="008F74D7"/>
    <w:rsid w:val="00901B76"/>
    <w:rsid w:val="00904C42"/>
    <w:rsid w:val="00914683"/>
    <w:rsid w:val="00924C05"/>
    <w:rsid w:val="00937CF2"/>
    <w:rsid w:val="00976645"/>
    <w:rsid w:val="00976F77"/>
    <w:rsid w:val="0098228C"/>
    <w:rsid w:val="009A03EB"/>
    <w:rsid w:val="009B091D"/>
    <w:rsid w:val="009E2100"/>
    <w:rsid w:val="00A15C10"/>
    <w:rsid w:val="00A25592"/>
    <w:rsid w:val="00A310E1"/>
    <w:rsid w:val="00A36AB0"/>
    <w:rsid w:val="00A47332"/>
    <w:rsid w:val="00AB37A3"/>
    <w:rsid w:val="00AC5114"/>
    <w:rsid w:val="00AF5F43"/>
    <w:rsid w:val="00B022DD"/>
    <w:rsid w:val="00B25683"/>
    <w:rsid w:val="00B51901"/>
    <w:rsid w:val="00BD50F6"/>
    <w:rsid w:val="00BF79D3"/>
    <w:rsid w:val="00C073E1"/>
    <w:rsid w:val="00C25647"/>
    <w:rsid w:val="00C33A11"/>
    <w:rsid w:val="00C6634B"/>
    <w:rsid w:val="00C6695F"/>
    <w:rsid w:val="00C66AEA"/>
    <w:rsid w:val="00C74FE5"/>
    <w:rsid w:val="00C9040A"/>
    <w:rsid w:val="00C91E4D"/>
    <w:rsid w:val="00C97300"/>
    <w:rsid w:val="00CB110A"/>
    <w:rsid w:val="00CB7CD0"/>
    <w:rsid w:val="00CE4363"/>
    <w:rsid w:val="00D039AF"/>
    <w:rsid w:val="00D4086D"/>
    <w:rsid w:val="00D95232"/>
    <w:rsid w:val="00DA1320"/>
    <w:rsid w:val="00DB7F50"/>
    <w:rsid w:val="00DE30C7"/>
    <w:rsid w:val="00DF400F"/>
    <w:rsid w:val="00DF7334"/>
    <w:rsid w:val="00E15BF4"/>
    <w:rsid w:val="00E2376B"/>
    <w:rsid w:val="00E26935"/>
    <w:rsid w:val="00E27707"/>
    <w:rsid w:val="00E52B04"/>
    <w:rsid w:val="00E661B7"/>
    <w:rsid w:val="00EC315D"/>
    <w:rsid w:val="00F10276"/>
    <w:rsid w:val="00F2069F"/>
    <w:rsid w:val="00F43068"/>
    <w:rsid w:val="00F47BD2"/>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7E8FE59E"/>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uiPriority w:val="34"/>
    <w:qFormat/>
    <w:rsid w:val="00A25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F7M6YNZUATRX-789077548-2830</_dlc_DocId>
    <_dlc_DocIdUrl xmlns="59ace41b-6786-4ce3-be71-52c27066c6ef">
      <Url>http://dm/eesc/2024/_layouts/15/DocIdRedir.aspx?ID=F7M6YNZUATRX-789077548-2830</Url>
      <Description>F7M6YNZUATRX-789077548-2830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2024-07-12T12:00:00+00:00</ProductionDate>
    <DocumentNumber xmlns="36007a90-28ab-40da-967b-595e4ec83007">2528</DocumentNumber>
    <FicheYear xmlns="59ace41b-6786-4ce3-be71-52c27066c6ef" xsi:nil="true"/>
    <DossierNumber xmlns="59ace41b-6786-4ce3-be71-52c27066c6ef">650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162</Value>
      <Value>66</Value>
      <Value>43</Value>
      <Value>37</Value>
      <Value>36</Value>
      <Value>35</Value>
      <Value>34</Value>
      <Value>33</Value>
      <Value>32</Value>
      <Value>31</Value>
      <Value>30</Value>
      <Value>29</Value>
      <Value>28</Value>
      <Value>27</Value>
      <Value>26</Value>
      <Value>25</Value>
      <Value>24</Value>
      <Value>23</Value>
      <Value>22</Value>
      <Value>21</Value>
      <Value>17</Value>
      <Value>16</Value>
      <Value>14</Value>
      <Value>12</Value>
      <Value>8</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Rapporteur xmlns="59ace41b-6786-4ce3-be71-52c27066c6ef">VARDAKASTANIS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9ace41b-6786-4ce3-be71-52c27066c6ef">2024</DocumentYear>
    <FicheNumber xmlns="59ace41b-6786-4ce3-be71-52c27066c6ef">7051</FicheNumber>
    <OriginalSender xmlns="59ace41b-6786-4ce3-be71-52c27066c6ef">
      <UserInfo>
        <DisplayName>Kliment Nora</DisplayName>
        <AccountId>1530</AccountId>
        <AccountType/>
      </UserInfo>
    </OriginalSender>
    <DocumentPart xmlns="59ace41b-6786-4ce3-be71-52c27066c6ef">0</DocumentPart>
    <AdoptionDate xmlns="59ace41b-6786-4ce3-be71-52c27066c6ef">2024-07-10T12:00:00+00:00</AdoptionDate>
    <RequestingService xmlns="59ace41b-6786-4ce3-be71-52c27066c6ef">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36007a90-28ab-40da-967b-595e4ec8300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Version xmlns="59ace41b-6786-4ce3-be71-52c27066c6ef">0</DocumentVers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9C698F2971CE54890F427AFE3EB568F" ma:contentTypeVersion="4" ma:contentTypeDescription="Defines the documents for Document Manager V2" ma:contentTypeScope="" ma:versionID="1ede4366cc334d81186bb4f7d46e0bfd">
  <xsd:schema xmlns:xsd="http://www.w3.org/2001/XMLSchema" xmlns:xs="http://www.w3.org/2001/XMLSchema" xmlns:p="http://schemas.microsoft.com/office/2006/metadata/properties" xmlns:ns2="59ace41b-6786-4ce3-be71-52c27066c6ef" xmlns:ns3="http://schemas.microsoft.com/sharepoint/v3/fields" xmlns:ns4="36007a90-28ab-40da-967b-595e4ec83007" targetNamespace="http://schemas.microsoft.com/office/2006/metadata/properties" ma:root="true" ma:fieldsID="793bace539ab1b60d443041a34a09cc2" ns2:_="" ns3:_="" ns4:_="">
    <xsd:import namespace="59ace41b-6786-4ce3-be71-52c27066c6ef"/>
    <xsd:import namespace="http://schemas.microsoft.com/sharepoint/v3/fields"/>
    <xsd:import namespace="36007a90-28ab-40da-967b-595e4ec830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07a90-28ab-40da-967b-595e4ec830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0F2E7-BF93-40B2-BB3B-E1201B17DDAC}">
  <ds:schemaRefs>
    <ds:schemaRef ds:uri="http://schemas.microsoft.com/office/2006/metadata/properties"/>
    <ds:schemaRef ds:uri="http://schemas.microsoft.com/office/infopath/2007/PartnerControls"/>
    <ds:schemaRef ds:uri="59ace41b-6786-4ce3-be71-52c27066c6ef"/>
    <ds:schemaRef ds:uri="http://schemas.microsoft.com/sharepoint/v3/fields"/>
    <ds:schemaRef ds:uri="36007a90-28ab-40da-967b-595e4ec83007"/>
  </ds:schemaRefs>
</ds:datastoreItem>
</file>

<file path=customXml/itemProps2.xml><?xml version="1.0" encoding="utf-8"?>
<ds:datastoreItem xmlns:ds="http://schemas.openxmlformats.org/officeDocument/2006/customXml" ds:itemID="{68DBA7B0-60B6-4761-AF30-CBB9C08605D7}">
  <ds:schemaRefs>
    <ds:schemaRef ds:uri="http://schemas.microsoft.com/sharepoint/events"/>
  </ds:schemaRefs>
</ds:datastoreItem>
</file>

<file path=customXml/itemProps3.xml><?xml version="1.0" encoding="utf-8"?>
<ds:datastoreItem xmlns:ds="http://schemas.openxmlformats.org/officeDocument/2006/customXml" ds:itemID="{3CE65C27-B38B-48C7-A8D9-881043F9CDB6}">
  <ds:schemaRefs>
    <ds:schemaRef ds:uri="http://schemas.microsoft.com/sharepoint/v3/contenttype/forms"/>
  </ds:schemaRefs>
</ds:datastoreItem>
</file>

<file path=customXml/itemProps4.xml><?xml version="1.0" encoding="utf-8"?>
<ds:datastoreItem xmlns:ds="http://schemas.openxmlformats.org/officeDocument/2006/customXml" ds:itemID="{4596C11D-269F-4217-AB8B-24275196E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ce41b-6786-4ce3-be71-52c27066c6ef"/>
    <ds:schemaRef ds:uri="http://schemas.microsoft.com/sharepoint/v3/fields"/>
    <ds:schemaRef ds:uri="36007a90-28ab-40da-967b-595e4ec83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1544</Words>
  <Characters>8495</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ECO/650 - Senkit sem hagyunk hátra! Inkluzív és részvételen alapuló kohéziós politika a társadalmi, gazdasági és területi kohézió támogatása érdekében</dc:title>
  <dc:subject>RES</dc:subject>
  <dc:creator>Francois Aude</dc:creator>
  <cp:keywords>EESC-2024-02528-00-00-RES-TRA-EN</cp:keywords>
  <dc:description>Rapporteur: VARDAKASTANIS - Original language: EN - Date of document: 12/07/2024 - Date of meeting:  - External documents:  - Administrator:  MELEAS Georgios</dc:description>
  <cp:lastModifiedBy>Zaccheddu Raffaella</cp:lastModifiedBy>
  <cp:revision>2</cp:revision>
  <dcterms:created xsi:type="dcterms:W3CDTF">2024-07-16T07:39:00Z</dcterms:created>
  <dcterms:modified xsi:type="dcterms:W3CDTF">2024-07-16T07:39:00Z</dcterms:modified>
  <cp:category>ECO/650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11/07/2024, 11/07/2024, 12/04/2024, 17/05/2022</vt:lpwstr>
  </property>
  <property fmtid="{D5CDD505-2E9C-101B-9397-08002B2CF9AE}" pid="4" name="Pref_Time">
    <vt:lpwstr>14:38:50, 13:29:52, 12:01:57, 14:58:36</vt:lpwstr>
  </property>
  <property fmtid="{D5CDD505-2E9C-101B-9397-08002B2CF9AE}" pid="5" name="Pref_User">
    <vt:lpwstr>amett, amett, enied, enied</vt:lpwstr>
  </property>
  <property fmtid="{D5CDD505-2E9C-101B-9397-08002B2CF9AE}" pid="6" name="Pref_FileName">
    <vt:lpwstr>EESC-2024-02528-00-00-RES-TRA-EN-CRR.docx, eesc-2024-02528-00-00-res-ori (1).docx, COR-EESC-2024-01326-16-00-ADMIN-ORI.docx, COR-EESC-2022-02592-00-00-ADMIN-ORI.docx</vt:lpwstr>
  </property>
  <property fmtid="{D5CDD505-2E9C-101B-9397-08002B2CF9AE}" pid="7" name="ContentTypeId">
    <vt:lpwstr>0x010100EA97B91038054C99906057A708A1480A00C9C698F2971CE54890F427AFE3EB568F</vt:lpwstr>
  </property>
  <property fmtid="{D5CDD505-2E9C-101B-9397-08002B2CF9AE}" pid="8" name="_dlc_DocIdItemGuid">
    <vt:lpwstr>e16b0be3-a272-429e-8927-0c81dcb2c671</vt:lpwstr>
  </property>
  <property fmtid="{D5CDD505-2E9C-101B-9397-08002B2CF9AE}" pid="9" name="AvailableTranslations">
    <vt:lpwstr>43;#CS|72f9705b-0217-4fd3-bea2-cbc7ed80e26e;#32;#HU|6b229040-c589-4408-b4c1-4285663d20a8;#35;#FI|87606a43-d45f-42d6-b8c9-e1a3457db5b7;#16;#DA|5d49c027-8956-412b-aa16-e85a0f96ad0e;#25;#DE|f6b31e5a-26fa-4935-b661-318e46daf27e;#28;#LV|46f7e311-5d9f-4663-b433-18aeccb7ace7;#30;#HR|2f555653-ed1a-4fe6-8362-9082d95989e5;#26;#SK|46d9fce0-ef79-4f71-b89b-cd6aa82426b8;#37;#RO|feb747a2-64cd-4299-af12-4833ddc30497;#27;#SL|98a412ae-eb01-49e9-ae3d-585a81724cfc;#17;#PL|1e03da61-4678-4e07-b136-b5024ca9197b;#22;#BG|1a1b3951-7821-4e6a-85f5-5673fc08bd2c;#31;#NL|55c6556c-b4f4-441d-9acf-c498d4f838bd;#34;#LT|a7ff5ce7-6123-4f68-865a-a57c31810414;#24;#ES|e7a6b05b-ae16-40c8-add9-68b64b03aeba;#21;#SV|c2ed69e7-a339-43d7-8f22-d93680a92aa0;#23;#MT|7df99101-6854-4a26-b53a-b88c0da02c26;#14;#FR|d2afafd3-4c81-4f60-8f52-ee33f2f54ff3;#5;#EN|f2175f21-25d7-44a3-96da-d6a61b075e1b;#36;#PT|50ccc04a-eadd-42ae-a0cb-acaf45f812ba;#29;#EL|6d4f4d51-af9b-4650-94b4-4276bee85c91;#33;#ET|ff6c3f4c-b02c-4c3c-ab07-2c37995a7a0a;#12;#IT|0774613c-01ed-4e5d-a25d-11d2388de825</vt:lpwstr>
  </property>
  <property fmtid="{D5CDD505-2E9C-101B-9397-08002B2CF9AE}" pid="10" name="DocumentType_0">
    <vt:lpwstr>RES|9e3e62eb-6858-4bc7-8a50-3453e395fd01</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2528</vt:i4>
  </property>
  <property fmtid="{D5CDD505-2E9C-101B-9397-08002B2CF9AE}" pid="14" name="DocumentVersion">
    <vt:i4>0</vt:i4>
  </property>
  <property fmtid="{D5CDD505-2E9C-101B-9397-08002B2CF9AE}" pid="15" name="DossierNumber">
    <vt:i4>650</vt:i4>
  </property>
  <property fmtid="{D5CDD505-2E9C-101B-9397-08002B2CF9AE}" pid="16" name="DocumentStatus">
    <vt:lpwstr>3;#TRA|150d2a88-1431-44e6-a8ca-0bb753ab8672</vt:lpwstr>
  </property>
  <property fmtid="{D5CDD505-2E9C-101B-9397-08002B2CF9AE}" pid="17" name="DossierName">
    <vt:lpwstr>66;#ECO|8df351f5-c957-404c-8cf3-8ffb22c9cba2</vt:lpwstr>
  </property>
  <property fmtid="{D5CDD505-2E9C-101B-9397-08002B2CF9AE}" pid="18" name="RequestingService">
    <vt:lpwstr>Union économique et monétaire et cohésion économique et sociale</vt:lpwstr>
  </property>
  <property fmtid="{D5CDD505-2E9C-101B-9397-08002B2CF9AE}" pid="19" name="Confidentiality">
    <vt:lpwstr>6;#Unrestricted|826e22d7-d029-4ec0-a450-0c28ff673572</vt:lpwstr>
  </property>
  <property fmtid="{D5CDD505-2E9C-101B-9397-08002B2CF9AE}" pid="20" name="MeetingName_0">
    <vt:lpwstr/>
  </property>
  <property fmtid="{D5CDD505-2E9C-101B-9397-08002B2CF9AE}" pid="21" name="Confidentiality_0">
    <vt:lpwstr>Unrestricted|826e22d7-d029-4ec0-a450-0c28ff673572</vt:lpwstr>
  </property>
  <property fmtid="{D5CDD505-2E9C-101B-9397-08002B2CF9AE}" pid="22" name="OriginalLanguage">
    <vt:lpwstr>5;#EN|f2175f21-25d7-44a3-96da-d6a61b075e1b</vt:lpwstr>
  </property>
  <property fmtid="{D5CDD505-2E9C-101B-9397-08002B2CF9AE}" pid="23" name="MeetingName">
    <vt:lpwstr/>
  </property>
  <property fmtid="{D5CDD505-2E9C-101B-9397-08002B2CF9AE}" pid="24" name="AvailableTranslations_0">
    <vt:lpwstr>CS|72f9705b-0217-4fd3-bea2-cbc7ed80e26e;DA|5d49c027-8956-412b-aa16-e85a0f96ad0e;DE|f6b31e5a-26fa-4935-b661-318e46daf27e;SL|98a412ae-eb01-49e9-ae3d-585a81724cfc;PL|1e03da61-4678-4e07-b136-b5024ca9197b;NL|55c6556c-b4f4-441d-9acf-c498d4f838bd;LT|a7ff5ce7-6123-4f68-865a-a57c31810414;SV|c2ed69e7-a339-43d7-8f22-d93680a92aa0;MT|7df99101-6854-4a26-b53a-b88c0da02c26;FR|d2afafd3-4c81-4f60-8f52-ee33f2f54ff3;EN|f2175f21-25d7-44a3-96da-d6a61b075e1b;PT|50ccc04a-eadd-42ae-a0cb-acaf45f812ba;EL|6d4f4d51-af9b-4650-94b4-4276bee85c91;IT|0774613c-01ed-4e5d-a25d-11d2388de825</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TaxCatchAll">
    <vt:lpwstr>14;#FR|d2afafd3-4c81-4f60-8f52-ee33f2f54ff3;#34;#LT|a7ff5ce7-6123-4f68-865a-a57c31810414;#31;#NL|55c6556c-b4f4-441d-9acf-c498d4f838bd;#66;#ECO|8df351f5-c957-404c-8cf3-8ffb22c9cba2;#27;#SL|98a412ae-eb01-49e9-ae3d-585a81724cfc;#25;#DE|f6b31e5a-26fa-4935-b661-318e46daf27e;#23;#MT|7df99101-6854-4a26-b53a-b88c0da02c26;#21;#SV|c2ed69e7-a339-43d7-8f22-d93680a92aa0;#29;#EL|6d4f4d51-af9b-4650-94b4-4276bee85c91;#17;#PL|1e03da61-4678-4e07-b136-b5024ca9197b;#16;#DA|5d49c027-8956-412b-aa16-e85a0f96ad0e;#162;#RES|9e3e62eb-6858-4bc7-8a50-3453e395fd01;#12;#IT|0774613c-01ed-4e5d-a25d-11d2388de825;#8;#Final|ea5e6674-7b27-4bac-b091-73adbb394efe;#43;#CS|72f9705b-0217-4fd3-bea2-cbc7ed80e26e;#5;#EN|f2175f21-25d7-44a3-96da-d6a61b075e1b;#3;#TRA|150d2a88-1431-44e6-a8ca-0bb753ab8672;#36;#PT|50ccc04a-eadd-42ae-a0cb-acaf45f812ba;#1;#EESC|422833ec-8d7e-4e65-8e4e-8bed07ffb729;#6;#Unrestricted|826e22d7-d029-4ec0-a450-0c28ff673572</vt:lpwstr>
  </property>
  <property fmtid="{D5CDD505-2E9C-101B-9397-08002B2CF9AE}" pid="28" name="Rapporteur">
    <vt:lpwstr>VARDAKASTANIS</vt:lpwstr>
  </property>
  <property fmtid="{D5CDD505-2E9C-101B-9397-08002B2CF9AE}" pid="29" name="VersionStatus_0">
    <vt:lpwstr>Final|ea5e6674-7b27-4bac-b091-73adbb394efe</vt:lpwstr>
  </property>
  <property fmtid="{D5CDD505-2E9C-101B-9397-08002B2CF9AE}" pid="30" name="VersionStatus">
    <vt:lpwstr>8;#Final|ea5e6674-7b27-4bac-b091-73adbb394efe</vt:lpwstr>
  </property>
  <property fmtid="{D5CDD505-2E9C-101B-9397-08002B2CF9AE}" pid="31" name="DocumentYear">
    <vt:i4>2024</vt:i4>
  </property>
  <property fmtid="{D5CDD505-2E9C-101B-9397-08002B2CF9AE}" pid="32" name="FicheNumber">
    <vt:i4>7051</vt:i4>
  </property>
  <property fmtid="{D5CDD505-2E9C-101B-9397-08002B2CF9AE}" pid="33" name="DocumentPart">
    <vt:i4>0</vt:i4>
  </property>
  <property fmtid="{D5CDD505-2E9C-101B-9397-08002B2CF9AE}" pid="34" name="DocumentSource">
    <vt:lpwstr>1;#EESC|422833ec-8d7e-4e65-8e4e-8bed07ffb729</vt:lpwstr>
  </property>
  <property fmtid="{D5CDD505-2E9C-101B-9397-08002B2CF9AE}" pid="35" name="AdoptionDate">
    <vt:filetime>2024-07-10T12:00:00Z</vt:filetime>
  </property>
  <property fmtid="{D5CDD505-2E9C-101B-9397-08002B2CF9AE}" pid="36" name="DocumentType">
    <vt:lpwstr>162;#RES|9e3e62eb-6858-4bc7-8a50-3453e395fd01</vt:lpwstr>
  </property>
  <property fmtid="{D5CDD505-2E9C-101B-9397-08002B2CF9AE}" pid="37" name="DocumentLanguage">
    <vt:lpwstr>32;#HU|6b229040-c589-4408-b4c1-4285663d20a8</vt:lpwstr>
  </property>
</Properties>
</file>