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F601C5" w14:paraId="6CF97C8C" w14:textId="77777777">
        <w:trPr>
          <w:jc w:val="center"/>
        </w:trPr>
        <w:tc>
          <w:tcPr>
            <w:tcW w:w="5000" w:type="pct"/>
            <w:vAlign w:val="center"/>
          </w:tcPr>
          <w:p w14:paraId="190B9901" w14:textId="77777777" w:rsidR="00901B76" w:rsidRPr="00316392" w:rsidRDefault="00901B76" w:rsidP="0095280D">
            <w:pPr>
              <w:jc w:val="center"/>
              <w:rPr>
                <w:b/>
                <w:sz w:val="72"/>
                <w:szCs w:val="72"/>
              </w:rPr>
            </w:pPr>
            <w:r>
              <w:rPr>
                <w:b/>
                <w:sz w:val="72"/>
              </w:rPr>
              <w:t>RESOLUTSIOON</w:t>
            </w:r>
          </w:p>
        </w:tc>
      </w:tr>
      <w:tr w:rsidR="00F601C5" w14:paraId="464000C0" w14:textId="77777777">
        <w:trPr>
          <w:trHeight w:val="567"/>
          <w:jc w:val="center"/>
        </w:trPr>
        <w:tc>
          <w:tcPr>
            <w:tcW w:w="5000" w:type="pct"/>
            <w:vAlign w:val="center"/>
          </w:tcPr>
          <w:p w14:paraId="3A2C081D" w14:textId="77777777" w:rsidR="00901B76" w:rsidRPr="00316392" w:rsidRDefault="00901B76" w:rsidP="0095280D">
            <w:pPr>
              <w:jc w:val="center"/>
              <w:rPr>
                <w:sz w:val="24"/>
                <w:szCs w:val="24"/>
              </w:rPr>
            </w:pPr>
            <w:r>
              <w:rPr>
                <w:sz w:val="24"/>
              </w:rPr>
              <w:t>Euroopa Majandus- ja Sotsiaalkomitee</w:t>
            </w:r>
          </w:p>
        </w:tc>
      </w:tr>
      <w:tr w:rsidR="00F601C5" w14:paraId="1F359A22" w14:textId="77777777">
        <w:trPr>
          <w:jc w:val="center"/>
        </w:trPr>
        <w:tc>
          <w:tcPr>
            <w:tcW w:w="5000" w:type="pct"/>
            <w:vAlign w:val="center"/>
          </w:tcPr>
          <w:p w14:paraId="206992C7" w14:textId="5BA4495E" w:rsidR="005127DA" w:rsidRPr="00316392" w:rsidRDefault="005127DA" w:rsidP="005127DA">
            <w:pPr>
              <w:jc w:val="center"/>
              <w:rPr>
                <w:b/>
                <w:sz w:val="44"/>
                <w:szCs w:val="44"/>
              </w:rPr>
            </w:pPr>
            <w:r>
              <w:rPr>
                <w:b/>
                <w:sz w:val="44"/>
              </w:rPr>
              <w:t>Kedagi ei tohi kõrvale jätta.</w:t>
            </w:r>
          </w:p>
          <w:p w14:paraId="0D30ABA5" w14:textId="3E6EC0B8" w:rsidR="00901B76" w:rsidRPr="00316392" w:rsidRDefault="005127DA" w:rsidP="005127DA">
            <w:pPr>
              <w:jc w:val="center"/>
              <w:rPr>
                <w:b/>
                <w:sz w:val="44"/>
                <w:szCs w:val="44"/>
              </w:rPr>
            </w:pPr>
            <w:r>
              <w:rPr>
                <w:b/>
                <w:sz w:val="44"/>
              </w:rPr>
              <w:t>Sotsiaalset, majanduslikku ja territoriaalset ühtekuuluvust toetava kaasava ja osaluspõhise ühtekuuluvuspoliitika edendamine</w:t>
            </w:r>
          </w:p>
        </w:tc>
      </w:tr>
      <w:tr w:rsidR="00F601C5" w14:paraId="0EB57DE1" w14:textId="77777777">
        <w:trPr>
          <w:jc w:val="center"/>
        </w:trPr>
        <w:tc>
          <w:tcPr>
            <w:tcW w:w="5000" w:type="pct"/>
            <w:vAlign w:val="center"/>
          </w:tcPr>
          <w:p w14:paraId="6666BEE0" w14:textId="77777777" w:rsidR="00901B76" w:rsidRPr="00316392" w:rsidRDefault="00901B76" w:rsidP="0095280D">
            <w:pPr>
              <w:jc w:val="center"/>
              <w:rPr>
                <w:sz w:val="24"/>
                <w:szCs w:val="24"/>
                <w:lang w:val="en-GB"/>
              </w:rPr>
            </w:pPr>
          </w:p>
        </w:tc>
      </w:tr>
      <w:tr w:rsidR="00F601C5" w14:paraId="2E64F395" w14:textId="77777777">
        <w:trPr>
          <w:jc w:val="center"/>
        </w:trPr>
        <w:tc>
          <w:tcPr>
            <w:tcW w:w="5000" w:type="pct"/>
            <w:vAlign w:val="center"/>
          </w:tcPr>
          <w:p w14:paraId="63AAE6CB"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F601C5" w14:paraId="6D910AF5" w14:textId="77777777">
        <w:trPr>
          <w:jc w:val="center"/>
        </w:trPr>
        <w:tc>
          <w:tcPr>
            <w:tcW w:w="5000" w:type="pct"/>
            <w:vAlign w:val="center"/>
          </w:tcPr>
          <w:p w14:paraId="71E15BF0" w14:textId="77777777" w:rsidR="00901B76" w:rsidRPr="00316392" w:rsidRDefault="00901B76" w:rsidP="0095280D">
            <w:pPr>
              <w:jc w:val="center"/>
              <w:rPr>
                <w:sz w:val="24"/>
                <w:szCs w:val="24"/>
                <w:lang w:val="en-GB"/>
              </w:rPr>
            </w:pPr>
          </w:p>
        </w:tc>
      </w:tr>
      <w:tr w:rsidR="00F601C5" w14:paraId="6DCDA0CB" w14:textId="77777777">
        <w:trPr>
          <w:jc w:val="center"/>
        </w:trPr>
        <w:tc>
          <w:tcPr>
            <w:tcW w:w="5000" w:type="pct"/>
            <w:vAlign w:val="center"/>
          </w:tcPr>
          <w:p w14:paraId="705E541C" w14:textId="77777777" w:rsidR="00901B76" w:rsidRPr="00316392" w:rsidRDefault="00901B76" w:rsidP="0095280D">
            <w:pPr>
              <w:jc w:val="center"/>
              <w:rPr>
                <w:b/>
                <w:sz w:val="24"/>
                <w:szCs w:val="24"/>
              </w:rPr>
            </w:pPr>
            <w:r>
              <w:rPr>
                <w:sz w:val="24"/>
              </w:rPr>
              <w:t xml:space="preserve">Raportöör: </w:t>
            </w:r>
            <w:r>
              <w:rPr>
                <w:b/>
                <w:sz w:val="24"/>
              </w:rPr>
              <w:t>Ioannis VARDAKASTANIS</w:t>
            </w:r>
          </w:p>
        </w:tc>
      </w:tr>
    </w:tbl>
    <w:p w14:paraId="049E77DF"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127ADE98" wp14:editId="0EBA1DE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C49D" w14:textId="77777777" w:rsidR="00574C9B" w:rsidRDefault="00574C9B" w:rsidP="00574C9B">
                            <w:pPr>
                              <w:jc w:val="cente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ADE98"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C00C49D" w14:textId="77777777" w:rsidR="00574C9B" w:rsidRDefault="00574C9B" w:rsidP="00574C9B">
                      <w:pPr>
                        <w:jc w:val="center"/>
                      </w:pPr>
                      <w:r>
                        <w:rPr>
                          <w:rFonts w:ascii="Arial" w:hAnsi="Arial"/>
                          <w:b/>
                          <w:sz w:val="48"/>
                        </w:rPr>
                        <w:t>ET</w:t>
                      </w:r>
                    </w:p>
                  </w:txbxContent>
                </v:textbox>
                <w10:wrap anchorx="margin" anchory="page"/>
              </v:shape>
            </w:pict>
          </mc:Fallback>
        </mc:AlternateContent>
      </w:r>
    </w:p>
    <w:p w14:paraId="4E695DAF" w14:textId="77777777" w:rsidR="00574C9B" w:rsidRPr="00316392" w:rsidRDefault="00574C9B" w:rsidP="00574C9B">
      <w:pPr>
        <w:rPr>
          <w:lang w:val="en-GB"/>
        </w:rPr>
      </w:pPr>
    </w:p>
    <w:p w14:paraId="3B3BDAD7" w14:textId="77777777" w:rsidR="00574C9B" w:rsidRPr="00316392" w:rsidRDefault="00574C9B" w:rsidP="00574C9B">
      <w:pPr>
        <w:rPr>
          <w:lang w:val="en-GB"/>
        </w:rPr>
        <w:sectPr w:rsidR="00574C9B" w:rsidRPr="00316392" w:rsidSect="00C6634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F601C5" w14:paraId="20A6C56B" w14:textId="77777777">
        <w:tc>
          <w:tcPr>
            <w:tcW w:w="3085" w:type="dxa"/>
          </w:tcPr>
          <w:p w14:paraId="024742E6" w14:textId="77777777" w:rsidR="00901B76" w:rsidRPr="00316392" w:rsidRDefault="00901B76" w:rsidP="00901B76">
            <w:pPr>
              <w:autoSpaceDE w:val="0"/>
              <w:autoSpaceDN w:val="0"/>
              <w:jc w:val="left"/>
              <w:rPr>
                <w:szCs w:val="20"/>
              </w:rPr>
            </w:pPr>
            <w:r>
              <w:lastRenderedPageBreak/>
              <w:t>Õiguslik alus</w:t>
            </w:r>
          </w:p>
        </w:tc>
        <w:tc>
          <w:tcPr>
            <w:tcW w:w="6204" w:type="dxa"/>
            <w:vAlign w:val="bottom"/>
          </w:tcPr>
          <w:p w14:paraId="02DE2E67" w14:textId="77777777" w:rsidR="00901B76" w:rsidRPr="00316392" w:rsidRDefault="00901B76" w:rsidP="00901B76">
            <w:pPr>
              <w:autoSpaceDE w:val="0"/>
              <w:autoSpaceDN w:val="0"/>
              <w:jc w:val="left"/>
            </w:pPr>
            <w:r>
              <w:t>kodukorra artikli 52 lõige 4</w:t>
            </w:r>
          </w:p>
        </w:tc>
      </w:tr>
      <w:tr w:rsidR="00F601C5" w14:paraId="31ABF732" w14:textId="77777777">
        <w:tc>
          <w:tcPr>
            <w:tcW w:w="3085" w:type="dxa"/>
          </w:tcPr>
          <w:p w14:paraId="38F0537D" w14:textId="77777777" w:rsidR="00901B76" w:rsidRPr="00316392" w:rsidRDefault="00901B76" w:rsidP="00901B76">
            <w:pPr>
              <w:autoSpaceDE w:val="0"/>
              <w:autoSpaceDN w:val="0"/>
              <w:jc w:val="left"/>
            </w:pPr>
            <w:r>
              <w:t>Vastuvõtmine täiskogus</w:t>
            </w:r>
          </w:p>
        </w:tc>
        <w:tc>
          <w:tcPr>
            <w:tcW w:w="6204" w:type="dxa"/>
            <w:vAlign w:val="bottom"/>
          </w:tcPr>
          <w:p w14:paraId="76BFA864" w14:textId="77777777" w:rsidR="00901B76" w:rsidRPr="00316392" w:rsidRDefault="005127DA" w:rsidP="00901B76">
            <w:pPr>
              <w:autoSpaceDE w:val="0"/>
              <w:autoSpaceDN w:val="0"/>
              <w:jc w:val="left"/>
            </w:pPr>
            <w:r>
              <w:t>11/7/2024</w:t>
            </w:r>
          </w:p>
        </w:tc>
      </w:tr>
      <w:tr w:rsidR="00F601C5" w14:paraId="7162380D" w14:textId="77777777">
        <w:tc>
          <w:tcPr>
            <w:tcW w:w="3085" w:type="dxa"/>
          </w:tcPr>
          <w:p w14:paraId="2D36FE2D" w14:textId="77777777" w:rsidR="00901B76" w:rsidRPr="00316392" w:rsidRDefault="00901B76" w:rsidP="00901B76">
            <w:pPr>
              <w:autoSpaceDE w:val="0"/>
              <w:autoSpaceDN w:val="0"/>
              <w:jc w:val="left"/>
            </w:pPr>
            <w:r>
              <w:t>Täiskogu istungjärk nr</w:t>
            </w:r>
          </w:p>
        </w:tc>
        <w:tc>
          <w:tcPr>
            <w:tcW w:w="6204" w:type="dxa"/>
            <w:vAlign w:val="bottom"/>
          </w:tcPr>
          <w:p w14:paraId="31C1C2FD" w14:textId="77777777" w:rsidR="00901B76" w:rsidRPr="00316392" w:rsidRDefault="005127DA" w:rsidP="00901B76">
            <w:pPr>
              <w:autoSpaceDE w:val="0"/>
              <w:autoSpaceDN w:val="0"/>
              <w:jc w:val="left"/>
            </w:pPr>
            <w:r>
              <w:t>589</w:t>
            </w:r>
          </w:p>
        </w:tc>
      </w:tr>
      <w:tr w:rsidR="00F601C5" w14:paraId="37F460AF" w14:textId="77777777">
        <w:tc>
          <w:tcPr>
            <w:tcW w:w="3085" w:type="dxa"/>
          </w:tcPr>
          <w:p w14:paraId="600D4A40" w14:textId="77777777" w:rsidR="00901B76" w:rsidRPr="00316392" w:rsidRDefault="00901B76" w:rsidP="00901B76">
            <w:pPr>
              <w:autoSpaceDE w:val="0"/>
              <w:autoSpaceDN w:val="0"/>
              <w:jc w:val="left"/>
            </w:pPr>
            <w:r>
              <w:t>Hääletuse tulemus</w:t>
            </w:r>
            <w:r>
              <w:br/>
              <w:t>(poolt/vastu/erapooletuid)</w:t>
            </w:r>
          </w:p>
        </w:tc>
        <w:tc>
          <w:tcPr>
            <w:tcW w:w="6204" w:type="dxa"/>
            <w:vAlign w:val="bottom"/>
          </w:tcPr>
          <w:p w14:paraId="78E65915" w14:textId="77777777" w:rsidR="00901B76" w:rsidRPr="00316392" w:rsidRDefault="00AF5F43" w:rsidP="00901B76">
            <w:pPr>
              <w:autoSpaceDE w:val="0"/>
              <w:autoSpaceDN w:val="0"/>
              <w:jc w:val="left"/>
            </w:pPr>
            <w:r>
              <w:t>159/2/07</w:t>
            </w:r>
          </w:p>
        </w:tc>
      </w:tr>
    </w:tbl>
    <w:p w14:paraId="352DDC56" w14:textId="77777777" w:rsidR="00AC5114" w:rsidRPr="00316392" w:rsidRDefault="00AC5114" w:rsidP="00574C9B">
      <w:pPr>
        <w:rPr>
          <w:lang w:val="en-GB"/>
        </w:rPr>
      </w:pPr>
    </w:p>
    <w:p w14:paraId="3B6AA303" w14:textId="77777777" w:rsidR="00AC5114" w:rsidRPr="00316392" w:rsidRDefault="00AC5114" w:rsidP="00574C9B">
      <w:pPr>
        <w:rPr>
          <w:lang w:val="en-GB"/>
        </w:rPr>
        <w:sectPr w:rsidR="00AC5114" w:rsidRPr="00316392" w:rsidSect="00C6634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04FC86C8" w14:textId="77777777" w:rsidR="00A25592" w:rsidRPr="009B091D" w:rsidRDefault="00A25592" w:rsidP="00A25592">
      <w:pPr>
        <w:pStyle w:val="Heading1"/>
      </w:pPr>
      <w:r>
        <w:lastRenderedPageBreak/>
        <w:t>Vahetult enne Euroopa Komisjoni uue ametiaja algust kutsume meie – Euroopa Majandus- ja Sotsiaalkomitee, kodanikuühiskonna organisatsioonide esindaja – Euroopa Liidu liikmesriike ja selle juhte, ELi institutsioone ja ELi kodanikke üles kaitsma ELi majanduslikku, sotsiaalset ja territoriaalset ühtekuuluvust vastavalt ELi toimimise lepingu artiklile 174.</w:t>
      </w:r>
    </w:p>
    <w:p w14:paraId="66CB4E37" w14:textId="77777777" w:rsidR="00A25592" w:rsidRPr="009B091D" w:rsidRDefault="00A25592" w:rsidP="00A25592">
      <w:pPr>
        <w:pStyle w:val="Heading2"/>
        <w:numPr>
          <w:ilvl w:val="0"/>
          <w:numId w:val="0"/>
        </w:numPr>
        <w:ind w:left="567" w:hanging="567"/>
        <w:rPr>
          <w:lang w:val="en-GB"/>
        </w:rPr>
      </w:pPr>
    </w:p>
    <w:p w14:paraId="20849097" w14:textId="77777777" w:rsidR="00A25592" w:rsidRPr="009B091D" w:rsidRDefault="00A25592" w:rsidP="00A25592">
      <w:pPr>
        <w:pStyle w:val="Heading1"/>
      </w:pPr>
      <w:r>
        <w:t xml:space="preserve">Me rõhutame, et ühtekuuluvuspoliitika aluspõhimõte, et mitte kedagi ei tohi kõrvale jätta, on endiselt tugev ja kehtiv. Kodanikuühiskonna osapooled on valmis jätkama tööd selle põhimõtte nimel ELi tugeva investeerimispoliitika abil. </w:t>
      </w:r>
    </w:p>
    <w:p w14:paraId="18ABA6F5" w14:textId="77777777" w:rsidR="00A25592" w:rsidRPr="009B091D" w:rsidRDefault="00A25592" w:rsidP="00A25592">
      <w:pPr>
        <w:ind w:left="567" w:hanging="567"/>
        <w:rPr>
          <w:lang w:val="en-GB"/>
        </w:rPr>
      </w:pPr>
    </w:p>
    <w:p w14:paraId="0C30BE07" w14:textId="77777777" w:rsidR="00A25592" w:rsidRPr="009B091D" w:rsidRDefault="00A25592" w:rsidP="00A25592">
      <w:pPr>
        <w:pStyle w:val="Heading1"/>
      </w:pPr>
      <w:r>
        <w:t>Me toonitame, et võimaluste ebavõrdsus võib pikas perspektiivis kahjustada majanduskasvu ja konkurentsivõimet nii piirkondlikul, riiklikul kui ka ELi tasandil. Selleks, et oleks võimalik pöörata rohkem tähelepanu inimestele, eriti neile, kes on kõige haavatavamad, ning tegeleda paremini ebavõrdsete võimaluste probleemiga, millega paljud silmitsi seisavad, peab ühtekuuluvuspoliitikat mitmekesistama ja paindlikumaks muutma. Samas peab ühtekuuluvuspoliitika äratama usaldust, olema stabiilne ja selge.</w:t>
      </w:r>
    </w:p>
    <w:p w14:paraId="44F6CEC9" w14:textId="77777777" w:rsidR="00A25592" w:rsidRPr="009B091D" w:rsidRDefault="00A25592" w:rsidP="00A25592">
      <w:pPr>
        <w:ind w:left="567" w:hanging="567"/>
        <w:rPr>
          <w:lang w:val="en-GB"/>
        </w:rPr>
      </w:pPr>
    </w:p>
    <w:p w14:paraId="4B67D05B" w14:textId="77777777" w:rsidR="00A25592" w:rsidRPr="009B091D" w:rsidRDefault="00A25592" w:rsidP="00A25592">
      <w:pPr>
        <w:pStyle w:val="Heading1"/>
      </w:pPr>
      <w:r>
        <w:t xml:space="preserve">Me suhtume kriitiliselt selle voliniku rolli kaotamisse, kes vastutab eelkõige ühtekuuluvuspoliitika portfelli eest. </w:t>
      </w:r>
    </w:p>
    <w:p w14:paraId="68B11D01" w14:textId="77777777" w:rsidR="00A25592" w:rsidRPr="009B091D" w:rsidRDefault="00A25592" w:rsidP="00A25592">
      <w:pPr>
        <w:pStyle w:val="Heading1"/>
        <w:numPr>
          <w:ilvl w:val="0"/>
          <w:numId w:val="0"/>
        </w:numPr>
        <w:ind w:left="567" w:hanging="567"/>
        <w:rPr>
          <w:lang w:val="en-GB"/>
        </w:rPr>
      </w:pPr>
    </w:p>
    <w:p w14:paraId="6DB2A96B" w14:textId="77777777" w:rsidR="00A25592" w:rsidRPr="009B091D" w:rsidRDefault="00A25592" w:rsidP="00A25592">
      <w:pPr>
        <w:pStyle w:val="Heading1"/>
      </w:pPr>
      <w:r>
        <w:t>Me oleme vastu ühtekuuluvuspoliitika tähtsuse vähendamisele ja selle muutmisele hädaolukordade lahendamise vahendiks.</w:t>
      </w:r>
    </w:p>
    <w:p w14:paraId="7A1A69F3" w14:textId="77777777" w:rsidR="00A25592" w:rsidRPr="009B091D" w:rsidRDefault="00A25592" w:rsidP="00A25592">
      <w:pPr>
        <w:ind w:left="567" w:hanging="567"/>
        <w:rPr>
          <w:lang w:val="en-GB"/>
        </w:rPr>
      </w:pPr>
    </w:p>
    <w:p w14:paraId="625F87AF" w14:textId="77777777" w:rsidR="00A25592" w:rsidRPr="009B091D" w:rsidRDefault="00A25592" w:rsidP="00A25592">
      <w:pPr>
        <w:pStyle w:val="Heading1"/>
      </w:pPr>
      <w:r>
        <w:t xml:space="preserve">Me ei nõustu ettepanekuga muuta ühtekuuluvuspoliitika taaste- ja vastupidavusrahastuga sarnaseks vahendiks, mis hõlmab vähe või ei hõlma üldse struktuurset sidusrühmade kaasamist, jagatud juhtimist ja </w:t>
      </w:r>
      <w:proofErr w:type="spellStart"/>
      <w:r>
        <w:t>mitmetasandilist</w:t>
      </w:r>
      <w:proofErr w:type="spellEnd"/>
      <w:r>
        <w:t xml:space="preserve"> valitsemist. </w:t>
      </w:r>
    </w:p>
    <w:p w14:paraId="05E540E2" w14:textId="77777777" w:rsidR="00A25592" w:rsidRPr="009B091D" w:rsidRDefault="00A25592" w:rsidP="00A25592">
      <w:pPr>
        <w:ind w:left="567" w:hanging="567"/>
        <w:rPr>
          <w:lang w:val="en-GB"/>
        </w:rPr>
      </w:pPr>
    </w:p>
    <w:p w14:paraId="46F6DEB1" w14:textId="77777777" w:rsidR="00A25592" w:rsidRPr="009B091D" w:rsidRDefault="00A25592" w:rsidP="00A25592">
      <w:pPr>
        <w:pStyle w:val="Heading1"/>
      </w:pPr>
      <w:r>
        <w:t>Me toetame partnerluse põhimõtet ning selgeid eeskirju kodanikuühiskonna kaasamiseks ELi rahastatavate tegevuste valimisse, juhtimisse ja järelevalvesse.</w:t>
      </w:r>
    </w:p>
    <w:p w14:paraId="07C9F5CF" w14:textId="77777777" w:rsidR="00A25592" w:rsidRPr="009B091D" w:rsidRDefault="00A25592" w:rsidP="00A25592">
      <w:pPr>
        <w:ind w:left="567" w:hanging="567"/>
        <w:rPr>
          <w:highlight w:val="yellow"/>
          <w:lang w:val="en-GB"/>
        </w:rPr>
      </w:pPr>
    </w:p>
    <w:p w14:paraId="69E7C0F1" w14:textId="77777777" w:rsidR="00A25592" w:rsidRPr="009B091D" w:rsidRDefault="00A25592" w:rsidP="00A25592">
      <w:pPr>
        <w:pStyle w:val="Heading1"/>
      </w:pPr>
      <w:r>
        <w:t xml:space="preserve">Me nõuame, et järgmises </w:t>
      </w:r>
      <w:proofErr w:type="spellStart"/>
      <w:r>
        <w:t>ühissätete</w:t>
      </w:r>
      <w:proofErr w:type="spellEnd"/>
      <w:r>
        <w:t xml:space="preserve"> määruses oleks tugev sõnastus kodanikuühiskonna kaasamise kohta. Järgmise </w:t>
      </w:r>
      <w:proofErr w:type="spellStart"/>
      <w:r>
        <w:t>ühissätete</w:t>
      </w:r>
      <w:proofErr w:type="spellEnd"/>
      <w:r>
        <w:t xml:space="preserve"> määrusega reguleeritakse ühtekuuluvusfondide ja muude ELi rahaliste vahendite kasutamist pärast 2027. aastat samal viisil, nagu see oli perioodil 2021–2027.</w:t>
      </w:r>
    </w:p>
    <w:p w14:paraId="7AE1C6F9" w14:textId="77777777" w:rsidR="00A25592" w:rsidRPr="009B091D" w:rsidRDefault="00A25592" w:rsidP="00A25592">
      <w:pPr>
        <w:ind w:left="567" w:hanging="567"/>
        <w:rPr>
          <w:lang w:val="en-GB"/>
        </w:rPr>
      </w:pPr>
    </w:p>
    <w:p w14:paraId="429B2E1A" w14:textId="77777777" w:rsidR="00A25592" w:rsidRPr="009B091D" w:rsidRDefault="00A25592" w:rsidP="00A25592">
      <w:pPr>
        <w:pStyle w:val="Heading1"/>
      </w:pPr>
      <w:r>
        <w:t xml:space="preserve">Me nõuame kohapõhist ja </w:t>
      </w:r>
      <w:proofErr w:type="spellStart"/>
      <w:r>
        <w:t>inimkeskset</w:t>
      </w:r>
      <w:proofErr w:type="spellEnd"/>
      <w:r>
        <w:t xml:space="preserve"> ühtekuuluvuspoliitikat.</w:t>
      </w:r>
    </w:p>
    <w:p w14:paraId="564467CC" w14:textId="77777777" w:rsidR="00A25592" w:rsidRPr="009B091D" w:rsidRDefault="00A25592" w:rsidP="00A25592">
      <w:pPr>
        <w:ind w:left="567" w:hanging="567"/>
        <w:rPr>
          <w:lang w:val="en-GB"/>
        </w:rPr>
      </w:pPr>
    </w:p>
    <w:p w14:paraId="194EDA79" w14:textId="77777777" w:rsidR="00A25592" w:rsidRPr="009B091D" w:rsidRDefault="00A25592" w:rsidP="00A25592">
      <w:pPr>
        <w:pStyle w:val="Heading2"/>
      </w:pPr>
      <w:r>
        <w:t>Ühtekuuluvuspoliitika peab olema kohapõhine, sest piirkondlikke iseärasusi tuleb tunnistada ja vastavalt territoriaalse mõju hindamisele täiel määral arvesse võtta.</w:t>
      </w:r>
    </w:p>
    <w:p w14:paraId="012013E0" w14:textId="77777777" w:rsidR="00A25592" w:rsidRPr="009B091D" w:rsidRDefault="00A25592" w:rsidP="00A25592">
      <w:pPr>
        <w:ind w:left="567" w:hanging="567"/>
        <w:rPr>
          <w:lang w:val="en-GB"/>
        </w:rPr>
      </w:pPr>
    </w:p>
    <w:p w14:paraId="46A72987" w14:textId="77777777" w:rsidR="00A25592" w:rsidRPr="009B091D" w:rsidRDefault="00A25592" w:rsidP="00A25592">
      <w:pPr>
        <w:pStyle w:val="Heading2"/>
      </w:pPr>
      <w:r>
        <w:t xml:space="preserve">Soovitud tulemuste saavutamiseks peab ühtekuuluvuspoliitika olema </w:t>
      </w:r>
      <w:proofErr w:type="spellStart"/>
      <w:r>
        <w:t>inimkeskne</w:t>
      </w:r>
      <w:proofErr w:type="spellEnd"/>
      <w:r>
        <w:t xml:space="preserve">, järgima täielikult partnerluspõhimõtet ning tuginema </w:t>
      </w:r>
      <w:proofErr w:type="spellStart"/>
      <w:r>
        <w:t>mitmetasandilisele</w:t>
      </w:r>
      <w:proofErr w:type="spellEnd"/>
      <w:r>
        <w:t xml:space="preserve"> valitsemisele, koostööle ja alt-üles-lähenemisviisile.</w:t>
      </w:r>
    </w:p>
    <w:p w14:paraId="15F0FFE1" w14:textId="77777777" w:rsidR="00A25592" w:rsidRPr="009B091D" w:rsidRDefault="00A25592" w:rsidP="00A25592">
      <w:pPr>
        <w:ind w:left="567" w:hanging="567"/>
        <w:rPr>
          <w:lang w:val="en-GB"/>
        </w:rPr>
      </w:pPr>
    </w:p>
    <w:p w14:paraId="599525E4" w14:textId="77777777" w:rsidR="00A25592" w:rsidRPr="009B091D" w:rsidRDefault="00A25592" w:rsidP="009B091D">
      <w:pPr>
        <w:pStyle w:val="Heading1"/>
      </w:pPr>
      <w:r>
        <w:t xml:space="preserve">Me kutsume üles andma ühtekuuluvuspoliitikale uut hoogu. Oleme seisukohal, et vahendite ja lähenemisviiside valikut tuleb laiendada, ajakohastada või see läbi vaadata, et luua tugev, tõhus, paindlik ja uuendatud ühtekuuluvuspoliitika, mis ei keskendu ainult investeeringutele, vaid </w:t>
      </w:r>
      <w:r>
        <w:lastRenderedPageBreak/>
        <w:t xml:space="preserve">pöörab rohkem tähelepanu suutlikkusele, </w:t>
      </w:r>
      <w:proofErr w:type="spellStart"/>
      <w:r>
        <w:t>piirkondadevahelistele</w:t>
      </w:r>
      <w:proofErr w:type="spellEnd"/>
      <w:r>
        <w:t xml:space="preserve"> sidemetele, tulemuste tõhususele ja abisaajate võimalustele. Selleks tuleb:</w:t>
      </w:r>
    </w:p>
    <w:p w14:paraId="49DB7CC9" w14:textId="77777777" w:rsidR="00A25592" w:rsidRPr="009B091D" w:rsidRDefault="00A25592" w:rsidP="00A25592">
      <w:pPr>
        <w:ind w:left="567" w:hanging="567"/>
        <w:rPr>
          <w:lang w:val="en-GB"/>
        </w:rPr>
      </w:pPr>
    </w:p>
    <w:p w14:paraId="044F0683" w14:textId="77777777" w:rsidR="00A25592" w:rsidRPr="009B091D" w:rsidRDefault="00A25592" w:rsidP="00A25592">
      <w:pPr>
        <w:pStyle w:val="Heading2"/>
      </w:pPr>
      <w:r>
        <w:t>tegeleda ELi peamiste struktuursete probleemidega: vähene areng, pikaajaline majandusseisak, võrdsete võimaluste puudumine kõigis piirkondades ning erinevused piirkondade ja ühiskondade vahel ja sees;</w:t>
      </w:r>
    </w:p>
    <w:p w14:paraId="66B97ABF" w14:textId="77777777" w:rsidR="00A25592" w:rsidRPr="00316392" w:rsidRDefault="00A25592" w:rsidP="00A25592">
      <w:pPr>
        <w:pStyle w:val="ListParagraph"/>
        <w:ind w:left="567" w:hanging="567"/>
      </w:pPr>
    </w:p>
    <w:p w14:paraId="74A6E333" w14:textId="77777777" w:rsidR="00A25592" w:rsidRPr="009B091D" w:rsidRDefault="00A25592" w:rsidP="00A25592">
      <w:pPr>
        <w:pStyle w:val="Heading2"/>
      </w:pPr>
      <w:r>
        <w:t>panna suuremat rõhku territoriaalpoliitika strateegiatele, nagu integreeritud territoriaalsed investeeringud ja kogukonna juhitud kohalik areng. Seepärast on vaja tugevdada kohalike, linnade ja piirkondlike ametiasutuste suutlikkust fonde hallata, kaotamata seejuures silmist sidusust;</w:t>
      </w:r>
    </w:p>
    <w:p w14:paraId="4167185C" w14:textId="77777777" w:rsidR="00A25592" w:rsidRPr="009B091D" w:rsidRDefault="00A25592" w:rsidP="00A25592">
      <w:pPr>
        <w:ind w:left="567" w:hanging="567"/>
        <w:rPr>
          <w:lang w:val="en-GB"/>
        </w:rPr>
      </w:pPr>
    </w:p>
    <w:p w14:paraId="2B1E4C94" w14:textId="77777777" w:rsidR="00A25592" w:rsidRPr="009B091D" w:rsidRDefault="00A25592" w:rsidP="00A25592">
      <w:pPr>
        <w:pStyle w:val="Heading2"/>
      </w:pPr>
      <w:r>
        <w:t>keskenduda madalama tööhõive määraga elanikkonnarühmadele (naised, noored, puuetega inimesed, sisserändajad, madalama haridustasemega inimesed), kelle jaoks on kohapeal vaja eriotstarbelisi koolitus-, ümberõppe-, oskuste täiendamise ja tugiprogramme;</w:t>
      </w:r>
    </w:p>
    <w:p w14:paraId="446C845C" w14:textId="77777777" w:rsidR="00A25592" w:rsidRPr="009B091D" w:rsidRDefault="00A25592" w:rsidP="00A25592">
      <w:pPr>
        <w:ind w:left="567" w:hanging="567"/>
        <w:rPr>
          <w:lang w:val="en-GB"/>
        </w:rPr>
      </w:pPr>
    </w:p>
    <w:p w14:paraId="121E98EA" w14:textId="77777777" w:rsidR="00A25592" w:rsidRPr="009B091D" w:rsidRDefault="00A25592" w:rsidP="00A25592">
      <w:pPr>
        <w:pStyle w:val="Heading2"/>
      </w:pPr>
      <w:r>
        <w:t>jätkata vahendite, sealhulgas rahastamisvahendite spetsialiseerimist ja mitmekesistamist, et ühtekuuluvuspoliitikal oleks mõju konkreetsetele haavatavate inimeste rühmadele ja valdkondadele ning konkreetsetes piirkondades, kus üldistest tööhõivega seotud lahendustest pole kasu nende inimeste tööturule integreerimiseks;</w:t>
      </w:r>
    </w:p>
    <w:p w14:paraId="3ADCF42B" w14:textId="77777777" w:rsidR="00A25592" w:rsidRPr="009B091D" w:rsidRDefault="00A25592" w:rsidP="00A25592">
      <w:pPr>
        <w:rPr>
          <w:lang w:val="en-GB"/>
        </w:rPr>
      </w:pPr>
    </w:p>
    <w:p w14:paraId="498FE113" w14:textId="77777777" w:rsidR="00A25592" w:rsidRPr="009B091D" w:rsidRDefault="00A25592" w:rsidP="00A25592">
      <w:pPr>
        <w:pStyle w:val="Heading2"/>
      </w:pPr>
      <w:r>
        <w:t>toetada investeeringuid sotsiaalsesse taristusse, et tõhusalt tegeleda oluliste demograafiliste probleemidega, millega EL silmitsi seisab. See on seda vajalikum piirkondades, kus aktiivne elanikkond väheneb ja kõrgharitud inimeste osakaal on väike, samuti piirkondades, kust lahkuvad noored;</w:t>
      </w:r>
    </w:p>
    <w:p w14:paraId="2FBA6C5F" w14:textId="77777777" w:rsidR="00A25592" w:rsidRPr="009B091D" w:rsidRDefault="00A25592" w:rsidP="00A25592">
      <w:pPr>
        <w:ind w:left="567" w:hanging="567"/>
        <w:rPr>
          <w:lang w:val="en-GB"/>
        </w:rPr>
      </w:pPr>
    </w:p>
    <w:p w14:paraId="1DDC4384" w14:textId="77777777" w:rsidR="00A25592" w:rsidRPr="009B091D" w:rsidRDefault="00A25592" w:rsidP="00A25592">
      <w:pPr>
        <w:pStyle w:val="Heading2"/>
      </w:pPr>
      <w:r>
        <w:t xml:space="preserve">suurendada piiriüleste tööturgude potentsiaali, sest need on õiguslike ja halduslike tõkete tõttu vähe arenenud. Selleks tuleb tugevdada piiriülest ja </w:t>
      </w:r>
      <w:proofErr w:type="spellStart"/>
      <w:r>
        <w:t>piirkondadevahelist</w:t>
      </w:r>
      <w:proofErr w:type="spellEnd"/>
      <w:r>
        <w:t xml:space="preserve"> koostööd, eelkõige taristu arendamiseks ja sotsiaalmajanduse üksuste tegevuse toetamiseks;</w:t>
      </w:r>
    </w:p>
    <w:p w14:paraId="2616F1FA" w14:textId="77777777" w:rsidR="00A25592" w:rsidRPr="009B091D" w:rsidRDefault="00A25592" w:rsidP="00A25592">
      <w:pPr>
        <w:ind w:left="567" w:hanging="567"/>
        <w:rPr>
          <w:lang w:val="en-GB"/>
        </w:rPr>
      </w:pPr>
    </w:p>
    <w:p w14:paraId="594DC12F" w14:textId="77777777" w:rsidR="00A25592" w:rsidRPr="009B091D" w:rsidRDefault="00A25592" w:rsidP="00A25592">
      <w:pPr>
        <w:pStyle w:val="Heading2"/>
      </w:pPr>
      <w:r>
        <w:t>jätkata väikeste ja keskmise suurusega ettevõtjate (</w:t>
      </w:r>
      <w:proofErr w:type="spellStart"/>
      <w:r>
        <w:t>VKEde</w:t>
      </w:r>
      <w:proofErr w:type="spellEnd"/>
      <w:r>
        <w:t xml:space="preserve">) ja nende kestlikkuse kaitsmist. Selleks on vaja kasutada olemasolevaid tavapäraseid Euroopa vahendeid – nagu Euroopa Sotsiaalfond, Euroopa Regionaalarengu Fond, Ühtekuuluvusfond ja õiglase ülemineku mehhanism – uuenduslikul, kuid lihtsal viisil, et </w:t>
      </w:r>
      <w:proofErr w:type="spellStart"/>
      <w:r>
        <w:t>VKEdel</w:t>
      </w:r>
      <w:proofErr w:type="spellEnd"/>
      <w:r>
        <w:t xml:space="preserve"> oleks lihtne juurdepääs rahastamisele ja pikas perspektiivis soodsatele laenutingimustele;</w:t>
      </w:r>
    </w:p>
    <w:p w14:paraId="16F91F37" w14:textId="77777777" w:rsidR="00A25592" w:rsidRPr="009B091D" w:rsidRDefault="00A25592" w:rsidP="00A25592">
      <w:pPr>
        <w:ind w:left="567" w:hanging="567"/>
        <w:rPr>
          <w:lang w:val="en-GB"/>
        </w:rPr>
      </w:pPr>
    </w:p>
    <w:p w14:paraId="6E2F2D1C" w14:textId="77777777" w:rsidR="00A25592" w:rsidRPr="009B091D" w:rsidRDefault="00A25592" w:rsidP="00A25592">
      <w:pPr>
        <w:pStyle w:val="Heading2"/>
      </w:pPr>
      <w:r>
        <w:t>suurendada koostoimet õiglase ülemineku mehhanismi raames tervikuna. Oleme veendunud, et ühtekuuluvuspoliitika peab jääma ELi peamiseks investeerimispoliitikaks Euroopa piirkondade kliimamuutustega kohanemise poliitika toetamisel. Põhimõtte „ei kahjusta oluliselt“ järgimine peab tagama, et investeeringud vastavad täielikult rohelise kokkuleppe eesmärkidele;</w:t>
      </w:r>
    </w:p>
    <w:p w14:paraId="22E28ADA" w14:textId="77777777" w:rsidR="00A25592" w:rsidRPr="009B091D" w:rsidRDefault="00A25592" w:rsidP="00A25592">
      <w:pPr>
        <w:ind w:left="567" w:hanging="567"/>
        <w:rPr>
          <w:lang w:val="en-GB"/>
        </w:rPr>
      </w:pPr>
    </w:p>
    <w:p w14:paraId="67F59473" w14:textId="77777777" w:rsidR="00A25592" w:rsidRPr="009B091D" w:rsidRDefault="00A25592" w:rsidP="00A25592">
      <w:pPr>
        <w:pStyle w:val="Heading2"/>
      </w:pPr>
      <w:r>
        <w:t>uurida täiendavalt suurettevõtete rahastamist kui lähenemise jaoks olulist tegurit, eriti strateegiliste tehnoloogiate osas uue Euroopa strateegiliste vahendite platvormi kaudu;</w:t>
      </w:r>
    </w:p>
    <w:p w14:paraId="534CF603" w14:textId="77777777" w:rsidR="00A25592" w:rsidRPr="009B091D" w:rsidRDefault="00A25592" w:rsidP="00A25592">
      <w:pPr>
        <w:ind w:left="567" w:hanging="567"/>
        <w:rPr>
          <w:lang w:val="en-GB"/>
        </w:rPr>
      </w:pPr>
    </w:p>
    <w:p w14:paraId="4A86C30E" w14:textId="77777777" w:rsidR="00A25592" w:rsidRPr="009B091D" w:rsidRDefault="00A25592" w:rsidP="00A25592">
      <w:pPr>
        <w:pStyle w:val="Heading2"/>
      </w:pPr>
      <w:r>
        <w:t xml:space="preserve">luua uusi majandusväljavaateid vähem arenenud piirkondade, äärealade, hõredalt asustatud piirkondade ja maapiirkondade, ELi saarte ja äärepoolseimate piirkondade jaoks. Samuti on vaja </w:t>
      </w:r>
      <w:r>
        <w:lastRenderedPageBreak/>
        <w:t>tegeleda erinevustega maa- ja linnapiirkondade ja linnakeskuste vahel, tugevdades samal ajal nendevahelisi sidemeid;</w:t>
      </w:r>
    </w:p>
    <w:p w14:paraId="2EF5D47E" w14:textId="77777777" w:rsidR="00A25592" w:rsidRPr="009B091D" w:rsidRDefault="00A25592" w:rsidP="00A25592">
      <w:pPr>
        <w:ind w:left="567" w:hanging="567"/>
        <w:rPr>
          <w:lang w:val="en-GB"/>
        </w:rPr>
      </w:pPr>
    </w:p>
    <w:p w14:paraId="27E5A889" w14:textId="77777777" w:rsidR="00A25592" w:rsidRPr="009B091D" w:rsidRDefault="00A25592" w:rsidP="00A25592">
      <w:pPr>
        <w:pStyle w:val="Heading2"/>
      </w:pPr>
      <w:r>
        <w:t>edendada algatusi, mille eesmärk on hoolikalt kindlaks teha ja käsitleda arengulõksus olevate piirkondade erivajadusi ning aidata neil ületada oma raskused;</w:t>
      </w:r>
    </w:p>
    <w:p w14:paraId="307F638A" w14:textId="77777777" w:rsidR="00A25592" w:rsidRPr="0069216C" w:rsidRDefault="00A25592" w:rsidP="00A25592">
      <w:pPr>
        <w:ind w:left="567" w:hanging="567"/>
        <w:rPr>
          <w:sz w:val="16"/>
          <w:szCs w:val="16"/>
          <w:lang w:val="en-GB"/>
        </w:rPr>
      </w:pPr>
    </w:p>
    <w:p w14:paraId="221A81D2" w14:textId="77777777" w:rsidR="00A25592" w:rsidRPr="009B091D" w:rsidRDefault="00A25592" w:rsidP="00A25592">
      <w:pPr>
        <w:pStyle w:val="Heading2"/>
      </w:pPr>
      <w:r>
        <w:t xml:space="preserve">võtta vastu ühtekuuluvuspoliitika, mis hõlmab selliseid põhielemente nagu jagatud eelarve täitmine, piirkondlik lähenemisviis, eelmaksed ja kaasrahastamise määrad. Investeeringutest üksi ei piisa. Iga piirkond vajab tugevaid juhtimisstruktuure ja asjakohast poliitikameetmete kombinatsiooni, mis kasutab ära koostoimet kõigi sidusrühmadega. Vaja on alt-üles-lähenemisviisi. Seega peavad investeeringutega sageli kaasnema kohandatud reformid ja </w:t>
      </w:r>
      <w:proofErr w:type="spellStart"/>
      <w:r>
        <w:t>elanikesõbralik</w:t>
      </w:r>
      <w:proofErr w:type="spellEnd"/>
      <w:r>
        <w:t xml:space="preserve"> poliitika;</w:t>
      </w:r>
    </w:p>
    <w:p w14:paraId="6DF32336" w14:textId="77777777" w:rsidR="00A25592" w:rsidRPr="0069216C" w:rsidRDefault="00A25592" w:rsidP="00A25592">
      <w:pPr>
        <w:ind w:left="567" w:hanging="567"/>
        <w:rPr>
          <w:sz w:val="16"/>
          <w:szCs w:val="16"/>
          <w:lang w:val="en-GB"/>
        </w:rPr>
      </w:pPr>
    </w:p>
    <w:p w14:paraId="239ACB3A" w14:textId="77777777" w:rsidR="00A25592" w:rsidRPr="009B091D" w:rsidRDefault="00A25592" w:rsidP="00A25592">
      <w:pPr>
        <w:pStyle w:val="Heading2"/>
      </w:pPr>
      <w:r>
        <w:t xml:space="preserve">kaasata rohkem kodanikuühiskonda ja kõiki kohaliku tasandi sidusrühmi, et tugevdada partnerluse ja </w:t>
      </w:r>
      <w:proofErr w:type="spellStart"/>
      <w:r>
        <w:t>mitmetasandilise</w:t>
      </w:r>
      <w:proofErr w:type="spellEnd"/>
      <w:r>
        <w:t xml:space="preserve"> valitsemise põhimõtte tõhusust ühtekuuluvuspoliitikas. See võib aidata vähendada survet demokraatiale, suurendades ELi poliitika omaksvõttu;</w:t>
      </w:r>
    </w:p>
    <w:p w14:paraId="0473263F" w14:textId="77777777" w:rsidR="00A25592" w:rsidRPr="0069216C" w:rsidRDefault="00A25592" w:rsidP="00A25592">
      <w:pPr>
        <w:pStyle w:val="ListParagraph"/>
        <w:ind w:left="567" w:hanging="567"/>
        <w:rPr>
          <w:sz w:val="16"/>
          <w:szCs w:val="16"/>
        </w:rPr>
      </w:pPr>
    </w:p>
    <w:p w14:paraId="508EFEE0" w14:textId="77777777" w:rsidR="00A25592" w:rsidRPr="009B091D" w:rsidRDefault="00A25592" w:rsidP="00A25592">
      <w:pPr>
        <w:pStyle w:val="Heading2"/>
      </w:pPr>
      <w:r>
        <w:t>tugevdada eri valitsustasandite, abisaajate ning muude riiklike, piirkondlike ja kohalike sidusrühmade haldussuutlikkust ning pakkuda paremini kohandatud tehnilist tuge, et parandada poliitika rakendamist kohapeal;</w:t>
      </w:r>
    </w:p>
    <w:p w14:paraId="18D4B5DD" w14:textId="77777777" w:rsidR="00A25592" w:rsidRPr="0069216C" w:rsidRDefault="00A25592" w:rsidP="00A25592">
      <w:pPr>
        <w:pStyle w:val="Heading2"/>
        <w:numPr>
          <w:ilvl w:val="0"/>
          <w:numId w:val="0"/>
        </w:numPr>
        <w:ind w:left="567" w:hanging="567"/>
        <w:rPr>
          <w:sz w:val="16"/>
          <w:szCs w:val="16"/>
          <w:lang w:val="en-GB"/>
        </w:rPr>
      </w:pPr>
    </w:p>
    <w:p w14:paraId="335194A3" w14:textId="77777777" w:rsidR="00A25592" w:rsidRPr="009B091D" w:rsidRDefault="00A25592" w:rsidP="00A25592">
      <w:pPr>
        <w:pStyle w:val="Heading2"/>
      </w:pPr>
      <w:r>
        <w:t>kaaluda ja võtta arvesse häid tavasid, tõhusaid poliitikameetmeid ja konkreetseid rahalisi vahendeid, mida taaste- ja vastupidavusrahastuga praegu rakendatakse, et need jätkuksid ka uue ühtekuuluvuspoliitika raames. Peame tagama, et taaste- ja vastupidavusrahastu vahendite kasutamine oleks jätkuvalt täielikult kooskõlas tulevase ühtekuuluvuspoliitika rakendamisega ning et taaste- ja vastupidavusrahastu raames juba käivitatud investeeringuid ja programme ei peatataks mehhanismi rahastamise muutmise tõttu;</w:t>
      </w:r>
    </w:p>
    <w:p w14:paraId="5BBFF147" w14:textId="77777777" w:rsidR="00A25592" w:rsidRPr="0069216C" w:rsidRDefault="00A25592" w:rsidP="00A25592">
      <w:pPr>
        <w:pStyle w:val="Heading2"/>
        <w:numPr>
          <w:ilvl w:val="0"/>
          <w:numId w:val="0"/>
        </w:numPr>
        <w:ind w:left="567" w:hanging="567"/>
        <w:rPr>
          <w:sz w:val="16"/>
          <w:szCs w:val="16"/>
          <w:lang w:val="en-GB"/>
        </w:rPr>
      </w:pPr>
    </w:p>
    <w:p w14:paraId="6D98163E" w14:textId="77777777" w:rsidR="00A25592" w:rsidRPr="009B091D" w:rsidRDefault="00A25592" w:rsidP="00A25592">
      <w:pPr>
        <w:pStyle w:val="Heading2"/>
      </w:pPr>
      <w:r>
        <w:t xml:space="preserve">integreerida ühtekuuluvuse eesmärgid veelgi enam Euroopa poolaastasse; </w:t>
      </w:r>
    </w:p>
    <w:p w14:paraId="7E9A4679" w14:textId="77777777" w:rsidR="00A25592" w:rsidRPr="0069216C" w:rsidRDefault="00A25592" w:rsidP="00A25592">
      <w:pPr>
        <w:pStyle w:val="Heading2"/>
        <w:numPr>
          <w:ilvl w:val="0"/>
          <w:numId w:val="0"/>
        </w:numPr>
        <w:ind w:left="567" w:hanging="567"/>
        <w:rPr>
          <w:sz w:val="16"/>
          <w:szCs w:val="16"/>
          <w:lang w:val="en-GB"/>
        </w:rPr>
      </w:pPr>
    </w:p>
    <w:p w14:paraId="7F8E9D31" w14:textId="77777777" w:rsidR="00A25592" w:rsidRPr="009B091D" w:rsidRDefault="00A25592" w:rsidP="00A25592">
      <w:pPr>
        <w:pStyle w:val="Heading2"/>
      </w:pPr>
      <w:r>
        <w:t>muuta mitmeaastase finantsraamistiku kogueelarve kaugeleulatuvamaks ja tagada ühtekuuluvuspoliitika piisav rahastamine. Seejuures tuleb silmas pidada ka tulevast vajadust ELi kaitseinvesteeringute järele ja laienenud, üle 27 liikmesriigiga Euroopa Liitu. Euroopa Liitu ja selle majanduslikku, sotsiaalsesse ja territoriaalsesse ühtekuuluvusse, jõukusesse ja konkurentsivõimesse ei saa investeerida vaid 1 % ELi kogurahvatulust;</w:t>
      </w:r>
    </w:p>
    <w:p w14:paraId="1D317024" w14:textId="77777777" w:rsidR="00A25592" w:rsidRPr="0069216C" w:rsidRDefault="00A25592" w:rsidP="00A25592">
      <w:pPr>
        <w:pStyle w:val="Heading2"/>
        <w:numPr>
          <w:ilvl w:val="0"/>
          <w:numId w:val="0"/>
        </w:numPr>
        <w:ind w:left="567" w:hanging="567"/>
        <w:rPr>
          <w:sz w:val="16"/>
          <w:szCs w:val="16"/>
          <w:lang w:val="en-GB"/>
        </w:rPr>
      </w:pPr>
    </w:p>
    <w:p w14:paraId="0CA7DAFD" w14:textId="77777777" w:rsidR="00A25592" w:rsidRPr="009B091D" w:rsidRDefault="00A25592" w:rsidP="00A25592">
      <w:pPr>
        <w:pStyle w:val="Heading2"/>
      </w:pPr>
      <w:r>
        <w:t>arvestada tulevaste laienemiste puhul, et järgmisel programmitöö perioodil tuleb ette näha piisav rahastamine, et tagada tulevaste liikmesriikide sujuv integratsioon, seadmata ohtu investeeringuid praegustesse arenevatesse piirkondadesse.</w:t>
      </w:r>
    </w:p>
    <w:p w14:paraId="1E88E172" w14:textId="77777777" w:rsidR="00A25592" w:rsidRPr="0069216C" w:rsidRDefault="00A25592" w:rsidP="00A25592">
      <w:pPr>
        <w:pStyle w:val="ListParagraph"/>
        <w:ind w:left="567" w:hanging="567"/>
        <w:rPr>
          <w:sz w:val="16"/>
          <w:szCs w:val="16"/>
        </w:rPr>
      </w:pPr>
    </w:p>
    <w:p w14:paraId="043D9B79" w14:textId="77777777" w:rsidR="00A25592" w:rsidRPr="009B091D" w:rsidRDefault="00A25592" w:rsidP="00A25592">
      <w:pPr>
        <w:pStyle w:val="Heading1"/>
        <w:keepNext/>
        <w:keepLines/>
        <w:rPr>
          <w:b/>
          <w:bCs/>
        </w:rPr>
      </w:pPr>
      <w:r>
        <w:rPr>
          <w:b/>
        </w:rPr>
        <w:t>Kodanikuühiskonna esindajatena teeme kõik endast oleneva, et kaitsta ühtekuuluvuspoliitika aluspõhimõtteid ja tagada, et see jääb Euroopat ühendavaks liimiks.</w:t>
      </w:r>
    </w:p>
    <w:p w14:paraId="4A822841" w14:textId="77777777" w:rsidR="00A25592" w:rsidRPr="0069216C" w:rsidRDefault="00A25592" w:rsidP="00A25592">
      <w:pPr>
        <w:keepNext/>
        <w:keepLines/>
        <w:ind w:left="567" w:hanging="567"/>
        <w:rPr>
          <w:sz w:val="16"/>
          <w:szCs w:val="16"/>
          <w:lang w:val="en-GB"/>
        </w:rPr>
      </w:pPr>
    </w:p>
    <w:p w14:paraId="7E4F2166" w14:textId="77777777" w:rsidR="00A25592" w:rsidRPr="009B091D" w:rsidRDefault="00A25592" w:rsidP="00A25592">
      <w:pPr>
        <w:keepNext/>
        <w:keepLines/>
      </w:pPr>
      <w:r>
        <w:t>Brüssel, 11. juuli 2024</w:t>
      </w:r>
    </w:p>
    <w:p w14:paraId="3CC13373" w14:textId="77777777" w:rsidR="00901B76" w:rsidRPr="0069216C" w:rsidRDefault="00901B76" w:rsidP="00672B2A">
      <w:pPr>
        <w:rPr>
          <w:sz w:val="16"/>
          <w:szCs w:val="16"/>
          <w:lang w:val="en-GB"/>
        </w:rPr>
      </w:pPr>
    </w:p>
    <w:p w14:paraId="5ADFA41C" w14:textId="77777777" w:rsidR="00901B76" w:rsidRPr="0069216C" w:rsidRDefault="00901B76" w:rsidP="00901B76">
      <w:pPr>
        <w:rPr>
          <w:sz w:val="16"/>
          <w:szCs w:val="16"/>
          <w:lang w:val="en-GB"/>
        </w:rPr>
      </w:pPr>
    </w:p>
    <w:p w14:paraId="50A79E23" w14:textId="77777777" w:rsidR="00901B76" w:rsidRPr="009B091D" w:rsidRDefault="00901B76" w:rsidP="00901B76">
      <w:pPr>
        <w:rPr>
          <w:i/>
          <w:iCs/>
        </w:rPr>
      </w:pPr>
      <w:r>
        <w:rPr>
          <w:i/>
        </w:rPr>
        <w:t>Euroopa Majandus- ja Sotsiaalkomitee president</w:t>
      </w:r>
    </w:p>
    <w:p w14:paraId="496A87FF" w14:textId="77777777" w:rsidR="00901B76" w:rsidRPr="009B091D" w:rsidRDefault="00F47BD2" w:rsidP="00901B76">
      <w:r>
        <w:t>Oliver RÖPKE</w:t>
      </w:r>
    </w:p>
    <w:p w14:paraId="16F00EF7" w14:textId="77777777" w:rsidR="00F53370" w:rsidRPr="0069216C" w:rsidRDefault="00901B76">
      <w:pPr>
        <w:jc w:val="center"/>
        <w:rPr>
          <w:sz w:val="16"/>
          <w:szCs w:val="16"/>
        </w:rPr>
      </w:pPr>
      <w:r>
        <w:t>_____________</w:t>
      </w:r>
    </w:p>
    <w:sectPr w:rsidR="00F53370" w:rsidRPr="0069216C" w:rsidSect="009B091D">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4642" w14:textId="77777777" w:rsidR="007C540D" w:rsidRDefault="007C540D" w:rsidP="00F53370">
      <w:pPr>
        <w:spacing w:line="240" w:lineRule="auto"/>
      </w:pPr>
      <w:r>
        <w:separator/>
      </w:r>
    </w:p>
  </w:endnote>
  <w:endnote w:type="continuationSeparator" w:id="0">
    <w:p w14:paraId="0107CBDB"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AC43" w14:textId="77777777" w:rsidR="00DF7334" w:rsidRDefault="00DF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B887" w14:textId="77777777" w:rsidR="00DF7334" w:rsidRDefault="00DF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C84B" w14:textId="77777777" w:rsidR="00DF7334" w:rsidRDefault="00DF7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851"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CA9D" w14:textId="59E5B387"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657246">
      <w:fldChar w:fldCharType="begin"/>
    </w:r>
    <w:r w:rsidR="00657246">
      <w:instrText xml:space="preserve"> NUMPAGES </w:instrText>
    </w:r>
    <w:r w:rsidR="00657246">
      <w:fldChar w:fldCharType="separate"/>
    </w:r>
    <w:r w:rsidR="00657246">
      <w:rPr>
        <w:noProof/>
      </w:rPr>
      <w:instrText>5</w:instrText>
    </w:r>
    <w:r w:rsidR="00657246">
      <w:rPr>
        <w:noProof/>
      </w:rPr>
      <w:fldChar w:fldCharType="end"/>
    </w:r>
    <w:r>
      <w:instrText xml:space="preserve"> - 2 </w:instrText>
    </w:r>
    <w:r>
      <w:fldChar w:fldCharType="separate"/>
    </w:r>
    <w:r w:rsidR="0065724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C320" w14:textId="77777777" w:rsidR="007C540D" w:rsidRDefault="007C540D" w:rsidP="00F53370">
      <w:pPr>
        <w:spacing w:line="240" w:lineRule="auto"/>
      </w:pPr>
      <w:r>
        <w:separator/>
      </w:r>
    </w:p>
  </w:footnote>
  <w:footnote w:type="continuationSeparator" w:id="0">
    <w:p w14:paraId="5A095793"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6E00" w14:textId="77777777" w:rsidR="00574C9B" w:rsidRDefault="00657246">
    <w:pPr>
      <w:pStyle w:val="Header"/>
    </w:pPr>
    <w:r>
      <w:pict w14:anchorId="079A0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DE74" w14:textId="76591894" w:rsidR="00574C9B" w:rsidRDefault="0079397B">
    <w:pPr>
      <w:pStyle w:val="Header"/>
    </w:pPr>
    <w:r>
      <w:rPr>
        <w:noProof/>
      </w:rPr>
      <w:drawing>
        <wp:anchor distT="0" distB="0" distL="114300" distR="114300" simplePos="0" relativeHeight="251661312" behindDoc="0" locked="0" layoutInCell="1" allowOverlap="1" wp14:anchorId="5AD2D198" wp14:editId="6F271077">
          <wp:simplePos x="898497" y="453224"/>
          <wp:positionH relativeFrom="page">
            <wp:align>center</wp:align>
          </wp:positionH>
          <wp:positionV relativeFrom="page">
            <wp:posOffset>288290</wp:posOffset>
          </wp:positionV>
          <wp:extent cx="6944360" cy="3343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657246">
      <w:pict w14:anchorId="3A048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56F8" w14:textId="77777777" w:rsidR="00574C9B" w:rsidRDefault="00657246">
    <w:pPr>
      <w:pStyle w:val="Header"/>
    </w:pPr>
    <w:r>
      <w:pict w14:anchorId="2842F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EF7B" w14:textId="77777777" w:rsidR="00574C9B" w:rsidRDefault="00657246">
    <w:pPr>
      <w:pStyle w:val="Header"/>
    </w:pPr>
    <w:r>
      <w:pict w14:anchorId="2B6C4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BDA0" w14:textId="77777777" w:rsidR="00574C9B" w:rsidRDefault="00657246">
    <w:pPr>
      <w:pStyle w:val="Header"/>
    </w:pPr>
    <w:r>
      <w:pict w14:anchorId="73B24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C0665E">
      <w:rPr>
        <w:noProof/>
      </w:rPr>
      <w:drawing>
        <wp:anchor distT="0" distB="0" distL="114300" distR="114300" simplePos="0" relativeHeight="251662336" behindDoc="1" locked="0" layoutInCell="1" allowOverlap="1" wp14:anchorId="1A133305" wp14:editId="6D99132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7EF" w14:textId="77777777" w:rsidR="00574C9B" w:rsidRDefault="00657246">
    <w:pPr>
      <w:pStyle w:val="Header"/>
    </w:pPr>
    <w:r>
      <w:pict w14:anchorId="24813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5D7" w14:textId="77777777" w:rsidR="00FA08F8" w:rsidRDefault="0065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16392"/>
    <w:rsid w:val="003353D7"/>
    <w:rsid w:val="003659F9"/>
    <w:rsid w:val="003D50B8"/>
    <w:rsid w:val="00401DE5"/>
    <w:rsid w:val="00442FFF"/>
    <w:rsid w:val="00481540"/>
    <w:rsid w:val="004871B8"/>
    <w:rsid w:val="004B478F"/>
    <w:rsid w:val="005127DA"/>
    <w:rsid w:val="005275F9"/>
    <w:rsid w:val="00574C9B"/>
    <w:rsid w:val="0058411F"/>
    <w:rsid w:val="005961A4"/>
    <w:rsid w:val="005F19D0"/>
    <w:rsid w:val="006125A1"/>
    <w:rsid w:val="00653E7D"/>
    <w:rsid w:val="00657246"/>
    <w:rsid w:val="00662207"/>
    <w:rsid w:val="00667F09"/>
    <w:rsid w:val="00672B2A"/>
    <w:rsid w:val="0069216C"/>
    <w:rsid w:val="006B57A6"/>
    <w:rsid w:val="006D40F9"/>
    <w:rsid w:val="006D53A6"/>
    <w:rsid w:val="00787837"/>
    <w:rsid w:val="00787ABB"/>
    <w:rsid w:val="0079397B"/>
    <w:rsid w:val="007B6C64"/>
    <w:rsid w:val="007C540D"/>
    <w:rsid w:val="00822952"/>
    <w:rsid w:val="00826494"/>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25683"/>
    <w:rsid w:val="00B51901"/>
    <w:rsid w:val="00BD50F6"/>
    <w:rsid w:val="00C0665E"/>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F50"/>
    <w:rsid w:val="00DE30C7"/>
    <w:rsid w:val="00DF400F"/>
    <w:rsid w:val="00DF7334"/>
    <w:rsid w:val="00E15BF4"/>
    <w:rsid w:val="00E2376B"/>
    <w:rsid w:val="00E26935"/>
    <w:rsid w:val="00E27707"/>
    <w:rsid w:val="00E52B04"/>
    <w:rsid w:val="00E661B7"/>
    <w:rsid w:val="00EC315D"/>
    <w:rsid w:val="00F10276"/>
    <w:rsid w:val="00F172EB"/>
    <w:rsid w:val="00F2069F"/>
    <w:rsid w:val="00F43068"/>
    <w:rsid w:val="00F47BD2"/>
    <w:rsid w:val="00F53370"/>
    <w:rsid w:val="00F601C5"/>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4424B97"/>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F7M6YNZUATRX-789077548-2850</_dlc_DocId>
    <_dlc_DocIdUrl xmlns="59ace41b-6786-4ce3-be71-52c27066c6ef">
      <Url>http://dm/eesc/2024/_layouts/15/DocIdRedir.aspx?ID=F7M6YNZUATRX-789077548-2850</Url>
      <Description>F7M6YNZUATRX-789077548-2850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Rosenberg Aili</DisplayName>
        <AccountId>1531</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Props1.xml><?xml version="1.0" encoding="utf-8"?>
<ds:datastoreItem xmlns:ds="http://schemas.openxmlformats.org/officeDocument/2006/customXml" ds:itemID="{43EB9A63-2E6C-4F7C-ACC0-8B46C514AADD}">
  <ds:schemaRefs>
    <ds:schemaRef ds:uri="http://schemas.microsoft.com/sharepoint/v3/contenttype/forms"/>
  </ds:schemaRefs>
</ds:datastoreItem>
</file>

<file path=customXml/itemProps2.xml><?xml version="1.0" encoding="utf-8"?>
<ds:datastoreItem xmlns:ds="http://schemas.openxmlformats.org/officeDocument/2006/customXml" ds:itemID="{39EF5BA6-14E6-4012-983B-9DB5236A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C2C7-1529-424E-AC5C-A12B9EACFAB6}">
  <ds:schemaRefs>
    <ds:schemaRef ds:uri="http://schemas.microsoft.com/sharepoint/events"/>
  </ds:schemaRefs>
</ds:datastoreItem>
</file>

<file path=customXml/itemProps4.xml><?xml version="1.0" encoding="utf-8"?>
<ds:datastoreItem xmlns:ds="http://schemas.openxmlformats.org/officeDocument/2006/customXml" ds:itemID="{A008FB05-23A1-4CF9-9755-0FB26BF59C49}">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Kedagi ei tohi kõrvale jätta. Sotsiaalset, majanduslikku ja territoriaalset ühtekuuluvust toetava kaasava ja osaluspõhise ühtekuuluvuspoliitika edendamine</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2024-07-16T07:36:00Z</dcterms:created>
  <dcterms:modified xsi:type="dcterms:W3CDTF">2024-07-16T07:36:00Z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9d56f941-30ce-45b4-ac4f-e4cdd32efeff</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HU|6b229040-c589-4408-b4c1-4285663d20a8;FI|87606a43-d45f-42d6-b8c9-e1a3457db5b7;DA|5d49c027-8956-412b-aa16-e85a0f96ad0e;DE|f6b31e5a-26fa-4935-b661-318e46daf27e;LV|46f7e311-5d9f-4663-b433-18aeccb7ace7;SL|98a412ae-eb01-49e9-ae3d-585a81724cfc;PL|1e03da61-4678-4e07-b136-b5024ca9197b;BG|1a1b3951-7821-4e6a-85f5-5673fc08bd2c;NL|55c6556c-b4f4-441d-9acf-c498d4f838bd;LT|a7ff5ce7-6123-4f68-865a-a57c31810414;SV|c2ed69e7-a339-43d7-8f22-d93680a92aa0;MT|7df99101-6854-4a26-b53a-b88c0da02c26;FR|d2afafd3-4c81-4f60-8f52-ee33f2f54ff3;EN|f2175f21-25d7-44a3-96da-d6a61b075e1b;PT|50ccc04a-eadd-42ae-a0cb-acaf45f812ba;EL|6d4f4d51-af9b-4650-94b4-4276bee85c91;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FR|d2afafd3-4c81-4f60-8f52-ee33f2f54ff3;#35;#FI|87606a43-d45f-42d6-b8c9-e1a3457db5b7;#34;#LT|a7ff5ce7-6123-4f68-865a-a57c31810414;#32;#HU|6b229040-c589-4408-b4c1-4285663d20a8;#31;#NL|55c6556c-b4f4-441d-9acf-c498d4f838bd;#66;#ECO|8df351f5-c957-404c-8cf3-8ffb22c9cba2;#28;#LV|46f7e311-5d9f-4663-b433-18aeccb7ace7;#27;#SL|98a412ae-eb01-49e9-ae3d-585a81724cfc;#25;#DE|f6b31e5a-26fa-4935-b661-318e46daf27e;#23;#MT|7df99101-6854-4a26-b53a-b88c0da02c26;#22;#BG|1a1b3951-7821-4e6a-85f5-5673fc08bd2c;#21;#SV|c2ed69e7-a339-43d7-8f22-d93680a92aa0;#29;#EL|6d4f4d51-af9b-4650-94b4-4276bee85c91;#17;#PL|1e03da61-4678-4e07-b136-b5024ca9197b;#16;#DA|5d49c027-8956-412b-aa16-e85a0f96ad0e;#162;#RES|9e3e62eb-6858-4bc7-8a50-3453e395fd01;#12;#IT|0774613c-01ed-4e5d-a25d-11d2388de825;#8;#Final|ea5e6674-7b27-4bac-b091-73adbb394efe;#43;#CS|72f9705b-0217-4fd3-bea2-cbc7ed80e26e;#5;#EN|f2175f21-25d7-44a3-96da-d6a61b075e1b;#3;#TRA|150d2a88-1431-44e6-a8ca-0bb753ab8672;#36;#PT|50ccc04a-eadd-42ae-a0cb-acaf45f812ba;#1;#EESC|422833ec-8d7e-4e65-8e4e-8bed07ffb729;#6;#Unrestricted|826e22d7-d029-4ec0-a450-0c28ff673572</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33;#ET|ff6c3f4c-b02c-4c3c-ab07-2c37995a7a0a</vt:lpwstr>
  </property>
</Properties>
</file>