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BF10" w14:textId="2F5B2DFA" w:rsidR="00392266" w:rsidRPr="00245B16" w:rsidRDefault="00D62BE8">
      <w:pPr>
        <w:jc w:val="center"/>
        <w:rPr>
          <w:b/>
          <w:lang w:val="en-GB"/>
        </w:rPr>
      </w:pPr>
      <w:r w:rsidRPr="00245B16">
        <w:rPr>
          <w:b/>
          <w:noProof/>
          <w:sz w:val="20"/>
        </w:rPr>
        <mc:AlternateContent>
          <mc:Choice Requires="wps">
            <w:drawing>
              <wp:anchor distT="0" distB="0" distL="114300" distR="114300" simplePos="0" relativeHeight="251659264" behindDoc="1" locked="0" layoutInCell="0" allowOverlap="1" wp14:anchorId="4E0E5C7F" wp14:editId="57FFAB8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wps:spPr>
                      <wps:txbx>
                        <w:txbxContent>
                          <w:p w14:paraId="14573DCE" w14:textId="77777777" w:rsidR="00392266" w:rsidRDefault="00D62BE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anchor>
            </w:drawing>
          </mc:Choice>
          <mc:Fallback>
            <w:pict>
              <v:shapetype w14:anchorId="4E0E5C7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14573DCE" w14:textId="77777777" w:rsidR="00392266" w:rsidRDefault="00D62BE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001D82BC" w14:textId="77777777" w:rsidR="00392266" w:rsidRPr="00245B16" w:rsidRDefault="00392266">
      <w:pPr>
        <w:jc w:val="center"/>
        <w:rPr>
          <w:b/>
          <w:lang w:val="en-GB"/>
        </w:rPr>
      </w:pPr>
    </w:p>
    <w:p w14:paraId="3DF8B6F8" w14:textId="33CBE578" w:rsidR="00464E03" w:rsidRPr="00464E03" w:rsidRDefault="00464E03" w:rsidP="00464E03">
      <w:pPr>
        <w:spacing w:after="0"/>
        <w:jc w:val="center"/>
        <w:rPr>
          <w:b/>
          <w:sz w:val="28"/>
          <w:szCs w:val="28"/>
          <w:lang w:val="hr-HR"/>
        </w:rPr>
      </w:pPr>
      <w:r w:rsidRPr="00464E03">
        <w:rPr>
          <w:b/>
          <w:noProof/>
          <w:sz w:val="28"/>
          <w:szCs w:val="28"/>
          <w:lang w:val="hr-HR"/>
        </w:rPr>
        <w:drawing>
          <wp:inline distT="0" distB="0" distL="0" distR="0" wp14:anchorId="3F1FB1E7" wp14:editId="32DBC2C6">
            <wp:extent cx="5761355" cy="1920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920240"/>
                    </a:xfrm>
                    <a:prstGeom prst="rect">
                      <a:avLst/>
                    </a:prstGeom>
                    <a:noFill/>
                    <a:ln>
                      <a:noFill/>
                    </a:ln>
                  </pic:spPr>
                </pic:pic>
              </a:graphicData>
            </a:graphic>
          </wp:inline>
        </w:drawing>
      </w:r>
    </w:p>
    <w:p w14:paraId="4564EC76" w14:textId="77777777" w:rsidR="00464E03" w:rsidRDefault="00464E03">
      <w:pPr>
        <w:spacing w:after="0"/>
        <w:jc w:val="center"/>
        <w:rPr>
          <w:b/>
          <w:sz w:val="28"/>
          <w:szCs w:val="28"/>
          <w:lang w:val="en-GB"/>
        </w:rPr>
      </w:pPr>
    </w:p>
    <w:p w14:paraId="072D2970" w14:textId="6E100BCE" w:rsidR="00392266" w:rsidRPr="00245B16" w:rsidRDefault="00D62BE8">
      <w:pPr>
        <w:spacing w:after="0"/>
        <w:jc w:val="center"/>
        <w:rPr>
          <w:b/>
          <w:sz w:val="28"/>
          <w:szCs w:val="28"/>
          <w:lang w:val="en-GB"/>
        </w:rPr>
      </w:pPr>
      <w:r w:rsidRPr="00245B16">
        <w:rPr>
          <w:b/>
          <w:sz w:val="28"/>
          <w:szCs w:val="28"/>
          <w:lang w:val="en-GB"/>
        </w:rPr>
        <w:t xml:space="preserve">Conclusions of the High-Level Civil Society Conference on </w:t>
      </w:r>
      <w:r w:rsidR="00464E03">
        <w:rPr>
          <w:b/>
          <w:sz w:val="28"/>
          <w:szCs w:val="28"/>
          <w:lang w:val="en-GB"/>
        </w:rPr>
        <w:t xml:space="preserve">Continuing the success story of EU </w:t>
      </w:r>
      <w:r w:rsidR="0037506C">
        <w:rPr>
          <w:b/>
          <w:sz w:val="28"/>
          <w:szCs w:val="28"/>
          <w:lang w:val="en-GB"/>
        </w:rPr>
        <w:t>e</w:t>
      </w:r>
      <w:r w:rsidR="00464E03">
        <w:rPr>
          <w:b/>
          <w:sz w:val="28"/>
          <w:szCs w:val="28"/>
          <w:lang w:val="en-GB"/>
        </w:rPr>
        <w:t>nlargement</w:t>
      </w:r>
      <w:r w:rsidRPr="00245B16">
        <w:rPr>
          <w:b/>
          <w:sz w:val="28"/>
          <w:szCs w:val="28"/>
          <w:lang w:val="en-GB"/>
        </w:rPr>
        <w:t xml:space="preserve"> – </w:t>
      </w:r>
      <w:r w:rsidR="00464E03">
        <w:rPr>
          <w:b/>
          <w:sz w:val="28"/>
          <w:szCs w:val="28"/>
          <w:lang w:val="en-GB"/>
        </w:rPr>
        <w:t>Bringing benefits to the Western Balkans in advance of accession</w:t>
      </w:r>
      <w:r w:rsidRPr="00245B16">
        <w:rPr>
          <w:b/>
          <w:sz w:val="28"/>
          <w:szCs w:val="28"/>
          <w:lang w:val="en-GB"/>
        </w:rPr>
        <w:t xml:space="preserve"> - </w:t>
      </w:r>
      <w:r w:rsidR="00464E03">
        <w:rPr>
          <w:b/>
          <w:sz w:val="28"/>
          <w:szCs w:val="28"/>
          <w:lang w:val="en-GB"/>
        </w:rPr>
        <w:t>24</w:t>
      </w:r>
      <w:r w:rsidRPr="00245B16">
        <w:rPr>
          <w:b/>
          <w:sz w:val="28"/>
          <w:szCs w:val="28"/>
          <w:lang w:val="en-GB"/>
        </w:rPr>
        <w:t xml:space="preserve"> </w:t>
      </w:r>
      <w:r w:rsidR="00464E03">
        <w:rPr>
          <w:b/>
          <w:sz w:val="28"/>
          <w:szCs w:val="28"/>
          <w:lang w:val="en-GB"/>
        </w:rPr>
        <w:t>May</w:t>
      </w:r>
      <w:r w:rsidRPr="00245B16">
        <w:rPr>
          <w:b/>
          <w:sz w:val="28"/>
          <w:szCs w:val="28"/>
          <w:lang w:val="en-GB"/>
        </w:rPr>
        <w:t xml:space="preserve"> 202</w:t>
      </w:r>
      <w:r w:rsidR="00464E03">
        <w:rPr>
          <w:b/>
          <w:sz w:val="28"/>
          <w:szCs w:val="28"/>
          <w:lang w:val="en-GB"/>
        </w:rPr>
        <w:t>4</w:t>
      </w:r>
      <w:r w:rsidRPr="00245B16">
        <w:rPr>
          <w:b/>
          <w:sz w:val="28"/>
          <w:szCs w:val="28"/>
          <w:lang w:val="en-GB"/>
        </w:rPr>
        <w:t xml:space="preserve">, </w:t>
      </w:r>
      <w:r w:rsidR="00464E03">
        <w:rPr>
          <w:b/>
          <w:sz w:val="28"/>
          <w:szCs w:val="28"/>
          <w:lang w:val="en-GB"/>
        </w:rPr>
        <w:t>Ljubljana</w:t>
      </w:r>
      <w:r w:rsidRPr="00245B16">
        <w:rPr>
          <w:b/>
          <w:sz w:val="28"/>
          <w:szCs w:val="28"/>
          <w:lang w:val="en-GB"/>
        </w:rPr>
        <w:t xml:space="preserve">, </w:t>
      </w:r>
      <w:r w:rsidR="00464E03">
        <w:rPr>
          <w:b/>
          <w:sz w:val="28"/>
          <w:szCs w:val="28"/>
          <w:lang w:val="en-GB"/>
        </w:rPr>
        <w:t>Slovenia</w:t>
      </w:r>
    </w:p>
    <w:p w14:paraId="6A9B5792" w14:textId="77777777" w:rsidR="00392266" w:rsidRPr="00245B16" w:rsidRDefault="00392266">
      <w:pPr>
        <w:spacing w:after="0"/>
        <w:jc w:val="both"/>
        <w:rPr>
          <w:lang w:val="en-GB"/>
        </w:rPr>
      </w:pPr>
    </w:p>
    <w:p w14:paraId="647B78DC" w14:textId="77777777" w:rsidR="00392266" w:rsidRPr="00245B16" w:rsidRDefault="00D62BE8">
      <w:pPr>
        <w:spacing w:after="0"/>
        <w:jc w:val="both"/>
        <w:rPr>
          <w:lang w:val="en-GB"/>
        </w:rPr>
      </w:pPr>
      <w:r w:rsidRPr="00245B16">
        <w:rPr>
          <w:lang w:val="en-GB"/>
        </w:rPr>
        <w:t>The participants:</w:t>
      </w:r>
    </w:p>
    <w:p w14:paraId="6FD87200" w14:textId="77777777" w:rsidR="00392266" w:rsidRPr="00245B16" w:rsidRDefault="00392266">
      <w:pPr>
        <w:spacing w:after="0"/>
        <w:jc w:val="both"/>
        <w:rPr>
          <w:lang w:val="en-GB"/>
        </w:rPr>
      </w:pPr>
    </w:p>
    <w:p w14:paraId="5D9A6149" w14:textId="0982C29B" w:rsidR="00392266" w:rsidRPr="00245B16" w:rsidRDefault="0086461A" w:rsidP="00001F3C">
      <w:pPr>
        <w:pStyle w:val="ListParagraph"/>
        <w:numPr>
          <w:ilvl w:val="0"/>
          <w:numId w:val="1"/>
        </w:numPr>
        <w:spacing w:after="0"/>
        <w:ind w:left="567" w:hanging="567"/>
        <w:jc w:val="both"/>
        <w:rPr>
          <w:lang w:val="en-GB"/>
        </w:rPr>
      </w:pPr>
      <w:r w:rsidRPr="0086461A">
        <w:rPr>
          <w:lang w:val="en-GB"/>
        </w:rPr>
        <w:t>welcome</w:t>
      </w:r>
      <w:r>
        <w:rPr>
          <w:lang w:val="en-GB"/>
        </w:rPr>
        <w:t>d</w:t>
      </w:r>
      <w:r w:rsidRPr="0086461A">
        <w:rPr>
          <w:lang w:val="en-GB"/>
        </w:rPr>
        <w:t xml:space="preserve"> the renewed commitment to socio-economic convergence and fundamental reforms outlined in the New Growth Plan and the Reform and Growth Facility for the Western Balkans (RGFWB)</w:t>
      </w:r>
      <w:r w:rsidR="00D62BE8" w:rsidRPr="00245B16">
        <w:rPr>
          <w:lang w:val="en-GB"/>
        </w:rPr>
        <w:t>;</w:t>
      </w:r>
    </w:p>
    <w:p w14:paraId="06930DF5" w14:textId="64AFF51B" w:rsidR="00392266" w:rsidRPr="00001F3C" w:rsidRDefault="00392266" w:rsidP="00001F3C">
      <w:pPr>
        <w:pStyle w:val="ListParagraph"/>
        <w:spacing w:after="0"/>
        <w:ind w:left="0"/>
        <w:jc w:val="both"/>
      </w:pPr>
    </w:p>
    <w:p w14:paraId="306C00D9" w14:textId="57620AC6" w:rsidR="004B7FF3" w:rsidRPr="00A42EF2" w:rsidRDefault="0086461A" w:rsidP="00001F3C">
      <w:pPr>
        <w:pStyle w:val="ListParagraph"/>
        <w:numPr>
          <w:ilvl w:val="0"/>
          <w:numId w:val="1"/>
        </w:numPr>
        <w:spacing w:after="0"/>
        <w:ind w:left="567" w:hanging="567"/>
        <w:jc w:val="both"/>
        <w:rPr>
          <w:lang w:val="en-GB"/>
        </w:rPr>
      </w:pPr>
      <w:r w:rsidRPr="0086461A">
        <w:rPr>
          <w:lang w:val="en-GB"/>
        </w:rPr>
        <w:t xml:space="preserve">firmly </w:t>
      </w:r>
      <w:r w:rsidRPr="00A42EF2">
        <w:rPr>
          <w:lang w:val="en-GB"/>
        </w:rPr>
        <w:t>believe that a gradual, predictable and merit-based approach to acquiring increasing benefits during the EU accession process is the best way to proceed towards enlargement of the Union</w:t>
      </w:r>
      <w:r w:rsidR="004B7FF3" w:rsidRPr="00A42EF2">
        <w:rPr>
          <w:lang w:val="en-GB"/>
        </w:rPr>
        <w:t>;</w:t>
      </w:r>
    </w:p>
    <w:p w14:paraId="67443F5E" w14:textId="77777777" w:rsidR="004B7FF3" w:rsidRPr="00A42EF2" w:rsidRDefault="004B7FF3" w:rsidP="004B7FF3">
      <w:pPr>
        <w:pStyle w:val="ListParagraph"/>
        <w:spacing w:after="0"/>
        <w:ind w:left="567"/>
        <w:jc w:val="both"/>
        <w:rPr>
          <w:lang w:val="en-GB"/>
        </w:rPr>
      </w:pPr>
    </w:p>
    <w:p w14:paraId="52207FA0" w14:textId="3D924CD8" w:rsidR="008A4925" w:rsidRDefault="008A4925" w:rsidP="00001F3C">
      <w:pPr>
        <w:pStyle w:val="ListParagraph"/>
        <w:numPr>
          <w:ilvl w:val="0"/>
          <w:numId w:val="1"/>
        </w:numPr>
        <w:spacing w:after="0"/>
        <w:ind w:left="567" w:hanging="567"/>
        <w:jc w:val="both"/>
        <w:rPr>
          <w:lang w:val="en-GB"/>
        </w:rPr>
      </w:pPr>
      <w:r w:rsidRPr="008A4925">
        <w:rPr>
          <w:lang w:val="en-GB"/>
        </w:rPr>
        <w:t>emphasise</w:t>
      </w:r>
      <w:r w:rsidR="0037506C">
        <w:rPr>
          <w:lang w:val="en-GB"/>
        </w:rPr>
        <w:t>d</w:t>
      </w:r>
      <w:r w:rsidRPr="008A4925">
        <w:rPr>
          <w:lang w:val="en-GB"/>
        </w:rPr>
        <w:t xml:space="preserve"> that the financial pillar of the Growth Plan will be insufficient to make significant impact in the region</w:t>
      </w:r>
      <w:r w:rsidR="0037506C">
        <w:rPr>
          <w:lang w:val="en-GB"/>
        </w:rPr>
        <w:t>,</w:t>
      </w:r>
      <w:r w:rsidRPr="008A4925">
        <w:rPr>
          <w:lang w:val="en-GB"/>
        </w:rPr>
        <w:t xml:space="preserve"> and call</w:t>
      </w:r>
      <w:r w:rsidR="0037506C">
        <w:rPr>
          <w:lang w:val="en-GB"/>
        </w:rPr>
        <w:t>ed</w:t>
      </w:r>
      <w:r w:rsidRPr="008A4925">
        <w:rPr>
          <w:lang w:val="en-GB"/>
        </w:rPr>
        <w:t xml:space="preserve"> </w:t>
      </w:r>
      <w:r w:rsidR="0037506C">
        <w:rPr>
          <w:lang w:val="en-GB"/>
        </w:rPr>
        <w:t xml:space="preserve">on </w:t>
      </w:r>
      <w:r w:rsidRPr="008A4925">
        <w:rPr>
          <w:lang w:val="en-GB"/>
        </w:rPr>
        <w:t>the European Commission to substantially increase the amount of the grant component;</w:t>
      </w:r>
    </w:p>
    <w:p w14:paraId="287EBB2A" w14:textId="77777777" w:rsidR="008A4925" w:rsidRDefault="008A4925" w:rsidP="00760CB8">
      <w:pPr>
        <w:pStyle w:val="ListParagraph"/>
        <w:spacing w:after="0"/>
        <w:ind w:left="567"/>
        <w:jc w:val="both"/>
        <w:rPr>
          <w:lang w:val="en-GB"/>
        </w:rPr>
      </w:pPr>
    </w:p>
    <w:p w14:paraId="528B1AB6" w14:textId="3403593F" w:rsidR="00392266" w:rsidRPr="00A42EF2" w:rsidRDefault="0086461A" w:rsidP="00001F3C">
      <w:pPr>
        <w:pStyle w:val="ListParagraph"/>
        <w:numPr>
          <w:ilvl w:val="0"/>
          <w:numId w:val="1"/>
        </w:numPr>
        <w:spacing w:after="0"/>
        <w:ind w:left="567" w:hanging="567"/>
        <w:jc w:val="both"/>
        <w:rPr>
          <w:lang w:val="en-GB"/>
        </w:rPr>
      </w:pPr>
      <w:r w:rsidRPr="00A42EF2">
        <w:rPr>
          <w:lang w:val="en-GB"/>
        </w:rPr>
        <w:t>called upon the European Commission to ensure that the beneficiaries are provided with timely technical assistance for acquis alignment and implementation</w:t>
      </w:r>
      <w:r w:rsidR="009E4F8A" w:rsidRPr="00A42EF2">
        <w:rPr>
          <w:lang w:val="en-GB"/>
        </w:rPr>
        <w:t xml:space="preserve">; </w:t>
      </w:r>
    </w:p>
    <w:p w14:paraId="3D8CA67D" w14:textId="77777777" w:rsidR="00392266" w:rsidRPr="00A42EF2" w:rsidRDefault="00392266" w:rsidP="00001F3C">
      <w:pPr>
        <w:pStyle w:val="ListParagraph"/>
        <w:spacing w:after="0"/>
        <w:ind w:left="0"/>
        <w:jc w:val="both"/>
        <w:rPr>
          <w:lang w:val="en-GB"/>
        </w:rPr>
      </w:pPr>
    </w:p>
    <w:p w14:paraId="4BD932BD" w14:textId="415BE600" w:rsidR="008A4925" w:rsidRPr="00760CB8" w:rsidRDefault="0086461A" w:rsidP="008A4925">
      <w:pPr>
        <w:pStyle w:val="ListParagraph"/>
        <w:numPr>
          <w:ilvl w:val="0"/>
          <w:numId w:val="1"/>
        </w:numPr>
        <w:spacing w:after="0"/>
        <w:ind w:left="567" w:hanging="567"/>
        <w:jc w:val="both"/>
        <w:rPr>
          <w:color w:val="4BACC6" w:themeColor="accent5"/>
          <w:lang w:val="en-GB"/>
        </w:rPr>
      </w:pPr>
      <w:r w:rsidRPr="00A42EF2">
        <w:rPr>
          <w:lang w:val="en-GB"/>
        </w:rPr>
        <w:t xml:space="preserve">welcomed the robust conditionality approach in the RGFWB, </w:t>
      </w:r>
      <w:r w:rsidR="008A4925">
        <w:rPr>
          <w:lang w:val="en-GB"/>
        </w:rPr>
        <w:t xml:space="preserve">which ties access to increased funding to compliance with payment conditions and measurable progress in implementing reforms, with particular </w:t>
      </w:r>
      <w:r w:rsidRPr="00A42EF2">
        <w:rPr>
          <w:lang w:val="en-GB"/>
        </w:rPr>
        <w:t>emphasis</w:t>
      </w:r>
      <w:r w:rsidR="008A4925">
        <w:rPr>
          <w:lang w:val="en-GB"/>
        </w:rPr>
        <w:t xml:space="preserve"> on</w:t>
      </w:r>
      <w:r w:rsidRPr="00A42EF2">
        <w:rPr>
          <w:lang w:val="en-GB"/>
        </w:rPr>
        <w:t xml:space="preserve"> democracy, the rule of law and human rights, including minority rights</w:t>
      </w:r>
      <w:r w:rsidR="00010A31">
        <w:rPr>
          <w:lang w:val="en-GB"/>
        </w:rPr>
        <w:t xml:space="preserve">; </w:t>
      </w:r>
      <w:r w:rsidRPr="00A42EF2">
        <w:rPr>
          <w:lang w:val="en-GB"/>
        </w:rPr>
        <w:t>pointed out that the effectiveness of this approach relies on the Commission</w:t>
      </w:r>
      <w:r w:rsidR="0037506C">
        <w:rPr>
          <w:lang w:val="en-GB"/>
        </w:rPr>
        <w:t>’</w:t>
      </w:r>
      <w:r w:rsidRPr="00A42EF2">
        <w:rPr>
          <w:lang w:val="en-GB"/>
        </w:rPr>
        <w:t>s assessments being methodical, objective and transparent</w:t>
      </w:r>
      <w:r w:rsidR="009463B1" w:rsidRPr="00A42EF2">
        <w:rPr>
          <w:lang w:val="en-GB"/>
        </w:rPr>
        <w:t>;</w:t>
      </w:r>
      <w:r w:rsidR="008A4925">
        <w:rPr>
          <w:lang w:val="en-GB"/>
        </w:rPr>
        <w:t xml:space="preserve"> </w:t>
      </w:r>
      <w:r w:rsidR="00010A31">
        <w:rPr>
          <w:lang w:val="en-GB"/>
        </w:rPr>
        <w:t xml:space="preserve">in </w:t>
      </w:r>
      <w:r w:rsidR="008A4925">
        <w:rPr>
          <w:lang w:val="en-GB"/>
        </w:rPr>
        <w:t xml:space="preserve">addition, </w:t>
      </w:r>
      <w:r w:rsidR="00D62BE8" w:rsidRPr="00A42EF2">
        <w:rPr>
          <w:lang w:val="en-GB"/>
        </w:rPr>
        <w:t xml:space="preserve">called </w:t>
      </w:r>
      <w:r w:rsidR="0037506C">
        <w:rPr>
          <w:lang w:val="en-GB"/>
        </w:rPr>
        <w:t>on</w:t>
      </w:r>
      <w:r w:rsidRPr="00A42EF2">
        <w:rPr>
          <w:lang w:val="en-GB"/>
        </w:rPr>
        <w:t xml:space="preserve"> the Commission to issue clear and transparent guidance on how to apply the proposed conditionality package</w:t>
      </w:r>
      <w:r w:rsidR="00D125A4">
        <w:rPr>
          <w:lang w:val="en-GB"/>
        </w:rPr>
        <w:t>;</w:t>
      </w:r>
      <w:r w:rsidRPr="00A42EF2">
        <w:rPr>
          <w:lang w:val="en-GB"/>
        </w:rPr>
        <w:t xml:space="preserve"> </w:t>
      </w:r>
    </w:p>
    <w:p w14:paraId="4D23063F" w14:textId="77777777" w:rsidR="008A4925" w:rsidRPr="00760CB8" w:rsidRDefault="008A4925" w:rsidP="00760CB8">
      <w:pPr>
        <w:pStyle w:val="ListParagraph"/>
        <w:spacing w:after="0"/>
        <w:ind w:left="567"/>
        <w:jc w:val="both"/>
        <w:rPr>
          <w:color w:val="4BACC6" w:themeColor="accent5"/>
          <w:lang w:val="en-GB"/>
        </w:rPr>
      </w:pPr>
    </w:p>
    <w:p w14:paraId="57DBD23D" w14:textId="7D936B48" w:rsidR="00392266" w:rsidRPr="00A42EF2" w:rsidRDefault="0086461A" w:rsidP="008A4925">
      <w:pPr>
        <w:pStyle w:val="ListParagraph"/>
        <w:numPr>
          <w:ilvl w:val="0"/>
          <w:numId w:val="1"/>
        </w:numPr>
        <w:spacing w:after="0"/>
        <w:ind w:left="567" w:hanging="567"/>
        <w:jc w:val="both"/>
        <w:rPr>
          <w:color w:val="4BACC6" w:themeColor="accent5"/>
          <w:lang w:val="en-GB"/>
        </w:rPr>
      </w:pPr>
      <w:r w:rsidRPr="00A42EF2">
        <w:rPr>
          <w:lang w:val="en-GB"/>
        </w:rPr>
        <w:t>reiterated the importance of ensuring that the EU</w:t>
      </w:r>
      <w:r w:rsidR="0037506C">
        <w:rPr>
          <w:lang w:val="en-GB"/>
        </w:rPr>
        <w:t>’</w:t>
      </w:r>
      <w:r w:rsidRPr="00A42EF2">
        <w:rPr>
          <w:lang w:val="en-GB"/>
        </w:rPr>
        <w:t>s focus on stability and geopolitical interests does not come at the expense of the rule of law and democracy</w:t>
      </w:r>
      <w:r w:rsidR="00D62BE8" w:rsidRPr="00A42EF2">
        <w:rPr>
          <w:lang w:val="en-GB"/>
        </w:rPr>
        <w:t>;</w:t>
      </w:r>
    </w:p>
    <w:p w14:paraId="271D5D48" w14:textId="77777777" w:rsidR="00392266" w:rsidRPr="00A42EF2" w:rsidRDefault="00392266" w:rsidP="00FE1A43">
      <w:pPr>
        <w:pStyle w:val="ListParagraph"/>
        <w:ind w:left="0"/>
        <w:rPr>
          <w:lang w:val="en-GB"/>
        </w:rPr>
      </w:pPr>
    </w:p>
    <w:p w14:paraId="2C9054F2" w14:textId="0C9700BF" w:rsidR="00392266" w:rsidRPr="00245B16" w:rsidRDefault="0086461A" w:rsidP="00001F3C">
      <w:pPr>
        <w:pStyle w:val="ListParagraph"/>
        <w:numPr>
          <w:ilvl w:val="0"/>
          <w:numId w:val="1"/>
        </w:numPr>
        <w:spacing w:after="0"/>
        <w:ind w:left="567" w:hanging="567"/>
        <w:jc w:val="both"/>
        <w:rPr>
          <w:lang w:val="en-GB"/>
        </w:rPr>
      </w:pPr>
      <w:r>
        <w:rPr>
          <w:lang w:val="en-GB"/>
        </w:rPr>
        <w:t>called upon the</w:t>
      </w:r>
      <w:r w:rsidRPr="0086461A">
        <w:rPr>
          <w:lang w:val="en-GB"/>
        </w:rPr>
        <w:t xml:space="preserve"> Commission </w:t>
      </w:r>
      <w:r>
        <w:rPr>
          <w:lang w:val="en-GB"/>
        </w:rPr>
        <w:t>to</w:t>
      </w:r>
      <w:r w:rsidRPr="0086461A">
        <w:rPr>
          <w:lang w:val="en-GB"/>
        </w:rPr>
        <w:t xml:space="preserve"> support candidate and potential candidate countries in evaluating both the advantages and drawbacks of early market integration, identifying those that are adversely affected and implementing customised mitigation measures</w:t>
      </w:r>
      <w:r w:rsidR="0037506C">
        <w:rPr>
          <w:lang w:val="en-GB"/>
        </w:rPr>
        <w:t>;</w:t>
      </w:r>
      <w:r w:rsidR="004B7FF3">
        <w:rPr>
          <w:lang w:val="en-GB"/>
        </w:rPr>
        <w:t xml:space="preserve"> </w:t>
      </w:r>
      <w:r w:rsidR="0037506C">
        <w:rPr>
          <w:lang w:val="en-GB"/>
        </w:rPr>
        <w:t xml:space="preserve">also </w:t>
      </w:r>
      <w:r w:rsidR="004B7FF3">
        <w:rPr>
          <w:lang w:val="en-GB"/>
        </w:rPr>
        <w:t>stressed that t</w:t>
      </w:r>
      <w:r w:rsidRPr="0086461A">
        <w:rPr>
          <w:lang w:val="en-GB"/>
        </w:rPr>
        <w:t xml:space="preserve">his will be key to preventing the erosion of public support for EU membership in candidate countries and </w:t>
      </w:r>
      <w:r w:rsidR="0037506C">
        <w:rPr>
          <w:lang w:val="en-GB"/>
        </w:rPr>
        <w:t xml:space="preserve">to </w:t>
      </w:r>
      <w:r w:rsidRPr="0086461A">
        <w:rPr>
          <w:lang w:val="en-GB"/>
        </w:rPr>
        <w:t>facilitating their smooth integration into the EU single market</w:t>
      </w:r>
      <w:r w:rsidR="0037506C">
        <w:rPr>
          <w:lang w:val="en-GB"/>
        </w:rPr>
        <w:t>;</w:t>
      </w:r>
      <w:r>
        <w:rPr>
          <w:lang w:val="en-GB"/>
        </w:rPr>
        <w:t xml:space="preserve"> </w:t>
      </w:r>
      <w:r w:rsidR="0037506C">
        <w:rPr>
          <w:lang w:val="en-GB"/>
        </w:rPr>
        <w:t xml:space="preserve">furthermore </w:t>
      </w:r>
      <w:r>
        <w:rPr>
          <w:lang w:val="en-GB"/>
        </w:rPr>
        <w:t>called upon the</w:t>
      </w:r>
      <w:r w:rsidRPr="0086461A">
        <w:rPr>
          <w:lang w:val="en-GB"/>
        </w:rPr>
        <w:t xml:space="preserve"> Commission </w:t>
      </w:r>
      <w:r>
        <w:rPr>
          <w:lang w:val="en-GB"/>
        </w:rPr>
        <w:t xml:space="preserve">to </w:t>
      </w:r>
      <w:r w:rsidRPr="0086461A">
        <w:rPr>
          <w:lang w:val="en-GB"/>
        </w:rPr>
        <w:t xml:space="preserve">ensure that, when developing such measures, input from </w:t>
      </w:r>
      <w:r w:rsidR="0037506C">
        <w:rPr>
          <w:lang w:val="en-GB"/>
        </w:rPr>
        <w:t xml:space="preserve">the </w:t>
      </w:r>
      <w:r w:rsidRPr="0086461A">
        <w:rPr>
          <w:lang w:val="en-GB"/>
        </w:rPr>
        <w:t>social partners and civil society is sought in a timely manner and duly considered</w:t>
      </w:r>
      <w:r w:rsidR="00D62BE8" w:rsidRPr="00245B16">
        <w:rPr>
          <w:lang w:val="en-GB"/>
        </w:rPr>
        <w:t>;</w:t>
      </w:r>
    </w:p>
    <w:p w14:paraId="38178DD3" w14:textId="77777777" w:rsidR="00392266" w:rsidRPr="00245B16" w:rsidRDefault="00392266" w:rsidP="00001F3C">
      <w:pPr>
        <w:pStyle w:val="ListParagraph"/>
        <w:spacing w:after="0"/>
        <w:ind w:left="0"/>
        <w:jc w:val="both"/>
        <w:rPr>
          <w:lang w:val="en-GB"/>
        </w:rPr>
      </w:pPr>
    </w:p>
    <w:p w14:paraId="2AE46333" w14:textId="3F6A9917" w:rsidR="008A4925" w:rsidRDefault="008A4925" w:rsidP="00001F3C">
      <w:pPr>
        <w:pStyle w:val="ListParagraph"/>
        <w:numPr>
          <w:ilvl w:val="0"/>
          <w:numId w:val="1"/>
        </w:numPr>
        <w:spacing w:after="0"/>
        <w:ind w:left="567" w:hanging="567"/>
        <w:jc w:val="both"/>
        <w:rPr>
          <w:lang w:val="en-GB"/>
        </w:rPr>
      </w:pPr>
      <w:r w:rsidRPr="008A4925">
        <w:rPr>
          <w:lang w:val="en-GB"/>
        </w:rPr>
        <w:t>stressed that it is very important to provide direct support to companies from the Western Balkans, both financial and technical, to assist them in obtaining the certificates and documents required to export to the EU;</w:t>
      </w:r>
    </w:p>
    <w:p w14:paraId="1F28BCAF" w14:textId="77777777" w:rsidR="008A4925" w:rsidRDefault="008A4925" w:rsidP="00760CB8">
      <w:pPr>
        <w:pStyle w:val="ListParagraph"/>
        <w:spacing w:after="0"/>
        <w:ind w:left="567"/>
        <w:jc w:val="both"/>
        <w:rPr>
          <w:lang w:val="en-GB"/>
        </w:rPr>
      </w:pPr>
    </w:p>
    <w:p w14:paraId="084A68DF" w14:textId="4E1C595E" w:rsidR="00D125A4" w:rsidRDefault="00D125A4" w:rsidP="00001F3C">
      <w:pPr>
        <w:pStyle w:val="ListParagraph"/>
        <w:numPr>
          <w:ilvl w:val="0"/>
          <w:numId w:val="1"/>
        </w:numPr>
        <w:spacing w:after="0"/>
        <w:ind w:left="567" w:hanging="567"/>
        <w:jc w:val="both"/>
        <w:rPr>
          <w:lang w:val="en-GB"/>
        </w:rPr>
      </w:pPr>
      <w:r w:rsidRPr="00D125A4">
        <w:rPr>
          <w:lang w:val="en-GB"/>
        </w:rPr>
        <w:t xml:space="preserve">called for </w:t>
      </w:r>
      <w:r w:rsidR="0037506C">
        <w:rPr>
          <w:lang w:val="en-GB"/>
        </w:rPr>
        <w:t xml:space="preserve">the </w:t>
      </w:r>
      <w:r w:rsidRPr="00D125A4">
        <w:rPr>
          <w:lang w:val="en-GB"/>
        </w:rPr>
        <w:t>elimination or simplification of work permit procedures for individuals from the Western Balkans seeking employment in the EU;</w:t>
      </w:r>
    </w:p>
    <w:p w14:paraId="5AA810AE" w14:textId="77777777" w:rsidR="00D125A4" w:rsidRDefault="00D125A4" w:rsidP="00760CB8">
      <w:pPr>
        <w:pStyle w:val="ListParagraph"/>
        <w:spacing w:after="0"/>
        <w:ind w:left="567"/>
        <w:jc w:val="both"/>
        <w:rPr>
          <w:lang w:val="en-GB"/>
        </w:rPr>
      </w:pPr>
    </w:p>
    <w:p w14:paraId="7AA89D2F" w14:textId="79852202" w:rsidR="00392266" w:rsidRPr="00245B16" w:rsidRDefault="0086461A" w:rsidP="00001F3C">
      <w:pPr>
        <w:pStyle w:val="ListParagraph"/>
        <w:numPr>
          <w:ilvl w:val="0"/>
          <w:numId w:val="1"/>
        </w:numPr>
        <w:spacing w:after="0"/>
        <w:ind w:left="567" w:hanging="567"/>
        <w:jc w:val="both"/>
        <w:rPr>
          <w:lang w:val="en-GB"/>
        </w:rPr>
      </w:pPr>
      <w:r w:rsidRPr="0086461A">
        <w:rPr>
          <w:lang w:val="en-GB"/>
        </w:rPr>
        <w:t>emphasise</w:t>
      </w:r>
      <w:r>
        <w:rPr>
          <w:lang w:val="en-GB"/>
        </w:rPr>
        <w:t>d</w:t>
      </w:r>
      <w:r w:rsidRPr="0086461A">
        <w:rPr>
          <w:lang w:val="en-GB"/>
        </w:rPr>
        <w:t xml:space="preserve"> the need to align the RGFWB mechanism with EU cohesion policy principles and governance rules, promoting territorial and social development</w:t>
      </w:r>
      <w:r w:rsidR="00010A31">
        <w:rPr>
          <w:lang w:val="en-GB"/>
        </w:rPr>
        <w:t>,</w:t>
      </w:r>
      <w:r w:rsidRPr="0086461A">
        <w:rPr>
          <w:lang w:val="en-GB"/>
        </w:rPr>
        <w:t xml:space="preserve"> in order to prepare Western Balkans institutions for when they have full access to cohesion policy funding</w:t>
      </w:r>
      <w:r w:rsidR="0037506C">
        <w:rPr>
          <w:lang w:val="en-GB"/>
        </w:rPr>
        <w:t>;</w:t>
      </w:r>
      <w:r w:rsidRPr="0086461A">
        <w:rPr>
          <w:lang w:val="en-GB"/>
        </w:rPr>
        <w:t xml:space="preserve"> also emphasise</w:t>
      </w:r>
      <w:r>
        <w:rPr>
          <w:lang w:val="en-GB"/>
        </w:rPr>
        <w:t>d</w:t>
      </w:r>
      <w:r w:rsidRPr="0086461A">
        <w:rPr>
          <w:lang w:val="en-GB"/>
        </w:rPr>
        <w:t xml:space="preserve"> the importance of aligning support for candidate countries with Member States</w:t>
      </w:r>
      <w:r w:rsidR="0037506C">
        <w:rPr>
          <w:lang w:val="en-GB"/>
        </w:rPr>
        <w:t>’</w:t>
      </w:r>
      <w:r w:rsidRPr="0086461A">
        <w:rPr>
          <w:lang w:val="en-GB"/>
        </w:rPr>
        <w:t xml:space="preserve"> financial instruments for a seamless transition to membership</w:t>
      </w:r>
      <w:r w:rsidR="0037506C">
        <w:rPr>
          <w:lang w:val="en-GB"/>
        </w:rPr>
        <w:t>; noted that,</w:t>
      </w:r>
      <w:r w:rsidRPr="0086461A">
        <w:rPr>
          <w:lang w:val="en-GB"/>
        </w:rPr>
        <w:t xml:space="preserve"> </w:t>
      </w:r>
      <w:r w:rsidR="0037506C">
        <w:rPr>
          <w:lang w:val="en-GB"/>
        </w:rPr>
        <w:t>g</w:t>
      </w:r>
      <w:r w:rsidRPr="0086461A">
        <w:rPr>
          <w:lang w:val="en-GB"/>
        </w:rPr>
        <w:t xml:space="preserve">oing forward, </w:t>
      </w:r>
      <w:r w:rsidR="00D125A4">
        <w:rPr>
          <w:lang w:val="en-GB"/>
        </w:rPr>
        <w:t xml:space="preserve">procedures for the use of </w:t>
      </w:r>
      <w:r w:rsidRPr="0086461A">
        <w:rPr>
          <w:lang w:val="en-GB"/>
        </w:rPr>
        <w:t>pre-accession financial instruments should be streamlined in order to avoid creating administrative bottlenecks</w:t>
      </w:r>
      <w:r w:rsidR="00D62BE8" w:rsidRPr="00245B16">
        <w:rPr>
          <w:lang w:val="en-GB"/>
        </w:rPr>
        <w:t>;</w:t>
      </w:r>
    </w:p>
    <w:p w14:paraId="31A3037E" w14:textId="77777777" w:rsidR="00392266" w:rsidRPr="00245B16" w:rsidRDefault="00392266">
      <w:pPr>
        <w:spacing w:after="0"/>
        <w:jc w:val="both"/>
        <w:rPr>
          <w:lang w:val="en-GB"/>
        </w:rPr>
      </w:pPr>
    </w:p>
    <w:p w14:paraId="54331F57" w14:textId="2FA85B34" w:rsidR="004A7246" w:rsidRDefault="004A7246" w:rsidP="00760CB8">
      <w:pPr>
        <w:pStyle w:val="ListParagraph"/>
        <w:numPr>
          <w:ilvl w:val="0"/>
          <w:numId w:val="1"/>
        </w:numPr>
        <w:spacing w:after="0"/>
        <w:ind w:left="567" w:hanging="567"/>
        <w:jc w:val="both"/>
        <w:rPr>
          <w:lang w:val="en-GB"/>
        </w:rPr>
      </w:pPr>
      <w:r>
        <w:rPr>
          <w:lang w:val="en-GB"/>
        </w:rPr>
        <w:t xml:space="preserve">called upon the </w:t>
      </w:r>
      <w:r w:rsidRPr="004A7246">
        <w:rPr>
          <w:lang w:val="en-GB"/>
        </w:rPr>
        <w:t xml:space="preserve">Commission </w:t>
      </w:r>
      <w:r w:rsidR="004B7FF3">
        <w:rPr>
          <w:lang w:val="en-GB"/>
        </w:rPr>
        <w:t>to</w:t>
      </w:r>
      <w:r w:rsidRPr="004A7246">
        <w:rPr>
          <w:lang w:val="en-GB"/>
        </w:rPr>
        <w:t xml:space="preserve"> reinforce the gradual integration approach by preparing a proposal to facilitate the candidates</w:t>
      </w:r>
      <w:r w:rsidR="00461A98">
        <w:rPr>
          <w:lang w:val="en-GB"/>
        </w:rPr>
        <w:t>’</w:t>
      </w:r>
      <w:r w:rsidRPr="004A7246">
        <w:rPr>
          <w:lang w:val="en-GB"/>
        </w:rPr>
        <w:t xml:space="preserve"> institutional connectivity and access to the work of the EU institutions, including the Commission</w:t>
      </w:r>
      <w:r w:rsidR="00461A98">
        <w:rPr>
          <w:lang w:val="en-GB"/>
        </w:rPr>
        <w:t>’</w:t>
      </w:r>
      <w:r w:rsidRPr="004A7246">
        <w:rPr>
          <w:lang w:val="en-GB"/>
        </w:rPr>
        <w:t>s various directorates-general, even during the accession process, with the aim of stimulating peer learning, gradually building up candidate countries</w:t>
      </w:r>
      <w:r w:rsidR="00461A98">
        <w:rPr>
          <w:lang w:val="en-GB"/>
        </w:rPr>
        <w:t>’</w:t>
      </w:r>
      <w:r w:rsidRPr="004A7246">
        <w:rPr>
          <w:lang w:val="en-GB"/>
        </w:rPr>
        <w:t xml:space="preserve"> administrative capacities</w:t>
      </w:r>
      <w:r w:rsidR="00461A98">
        <w:rPr>
          <w:lang w:val="en-GB"/>
        </w:rPr>
        <w:t>,</w:t>
      </w:r>
      <w:r w:rsidRPr="004A7246">
        <w:rPr>
          <w:lang w:val="en-GB"/>
        </w:rPr>
        <w:t xml:space="preserve"> and acclimatising them to EU policy</w:t>
      </w:r>
      <w:r w:rsidR="00461A98">
        <w:rPr>
          <w:lang w:val="en-GB"/>
        </w:rPr>
        <w:t>-</w:t>
      </w:r>
      <w:r w:rsidRPr="004A7246">
        <w:rPr>
          <w:lang w:val="en-GB"/>
        </w:rPr>
        <w:t>making and legislative processes</w:t>
      </w:r>
      <w:r w:rsidR="00AB433D" w:rsidRPr="00245B16">
        <w:rPr>
          <w:lang w:val="en-GB"/>
        </w:rPr>
        <w:t>;</w:t>
      </w:r>
      <w:r w:rsidR="00D62BE8" w:rsidRPr="00245B16">
        <w:rPr>
          <w:lang w:val="en-GB"/>
        </w:rPr>
        <w:t xml:space="preserve"> </w:t>
      </w:r>
    </w:p>
    <w:p w14:paraId="486E3BDE" w14:textId="77777777" w:rsidR="004A7246" w:rsidRDefault="004A7246" w:rsidP="004A7246">
      <w:pPr>
        <w:pStyle w:val="ListParagraph"/>
        <w:spacing w:after="0"/>
        <w:ind w:left="567"/>
        <w:jc w:val="both"/>
        <w:rPr>
          <w:lang w:val="en-GB"/>
        </w:rPr>
      </w:pPr>
    </w:p>
    <w:p w14:paraId="4C395575" w14:textId="3BC6773C" w:rsidR="00392266" w:rsidRPr="00245B16" w:rsidRDefault="004A7246" w:rsidP="00001F3C">
      <w:pPr>
        <w:pStyle w:val="ListParagraph"/>
        <w:numPr>
          <w:ilvl w:val="0"/>
          <w:numId w:val="1"/>
        </w:numPr>
        <w:spacing w:after="0"/>
        <w:ind w:left="567" w:hanging="567"/>
        <w:jc w:val="both"/>
        <w:rPr>
          <w:lang w:val="en-GB"/>
        </w:rPr>
      </w:pPr>
      <w:r w:rsidRPr="004A7246">
        <w:rPr>
          <w:lang w:val="en-GB"/>
        </w:rPr>
        <w:t>call</w:t>
      </w:r>
      <w:r>
        <w:rPr>
          <w:lang w:val="en-GB"/>
        </w:rPr>
        <w:t>ed</w:t>
      </w:r>
      <w:r w:rsidRPr="004A7246">
        <w:rPr>
          <w:lang w:val="en-GB"/>
        </w:rPr>
        <w:t xml:space="preserve"> on the Commission to start assessing progress and membership readiness in the </w:t>
      </w:r>
      <w:r w:rsidR="00806001">
        <w:rPr>
          <w:lang w:val="en-GB"/>
        </w:rPr>
        <w:t>‘</w:t>
      </w:r>
      <w:r w:rsidRPr="004A7246">
        <w:rPr>
          <w:lang w:val="en-GB"/>
        </w:rPr>
        <w:t>Functioning of democratic institutions</w:t>
      </w:r>
      <w:r w:rsidR="00806001">
        <w:rPr>
          <w:lang w:val="en-GB"/>
        </w:rPr>
        <w:t>’</w:t>
      </w:r>
      <w:r w:rsidRPr="004A7246">
        <w:rPr>
          <w:lang w:val="en-GB"/>
        </w:rPr>
        <w:t xml:space="preserve"> sub-area of Cluster 1 in its regular reports, in a transparent, inclusive, consistent and objective manner, as this area forms a key precondition for </w:t>
      </w:r>
      <w:r w:rsidR="00806001">
        <w:rPr>
          <w:lang w:val="en-GB"/>
        </w:rPr>
        <w:t>E</w:t>
      </w:r>
      <w:r w:rsidRPr="004A7246">
        <w:rPr>
          <w:lang w:val="en-GB"/>
        </w:rPr>
        <w:t>U assistance through the RGFWB</w:t>
      </w:r>
      <w:r w:rsidR="00806001">
        <w:rPr>
          <w:lang w:val="en-GB"/>
        </w:rPr>
        <w:t>;</w:t>
      </w:r>
      <w:r w:rsidR="004B7FF3">
        <w:rPr>
          <w:lang w:val="en-GB"/>
        </w:rPr>
        <w:t xml:space="preserve"> believe that f</w:t>
      </w:r>
      <w:r w:rsidRPr="004A7246">
        <w:rPr>
          <w:lang w:val="en-GB"/>
        </w:rPr>
        <w:t>inal impact indicators and related milestones regarding all reforms outlined in the Reform Agendas should be set in the subsequent binding agreements</w:t>
      </w:r>
      <w:r w:rsidR="00D62BE8" w:rsidRPr="00245B16">
        <w:rPr>
          <w:lang w:val="en-GB"/>
        </w:rPr>
        <w:t>;</w:t>
      </w:r>
    </w:p>
    <w:p w14:paraId="4E904B36" w14:textId="77777777" w:rsidR="00392266" w:rsidRPr="00245B16" w:rsidRDefault="00392266">
      <w:pPr>
        <w:spacing w:after="0"/>
        <w:jc w:val="both"/>
        <w:rPr>
          <w:lang w:val="en-GB"/>
        </w:rPr>
      </w:pPr>
    </w:p>
    <w:p w14:paraId="54505E4C" w14:textId="270151C9" w:rsidR="004A7246" w:rsidRDefault="004A7246" w:rsidP="00001F3C">
      <w:pPr>
        <w:pStyle w:val="ListParagraph"/>
        <w:numPr>
          <w:ilvl w:val="0"/>
          <w:numId w:val="1"/>
        </w:numPr>
        <w:spacing w:after="0"/>
        <w:ind w:left="567" w:hanging="567"/>
        <w:jc w:val="both"/>
        <w:rPr>
          <w:lang w:val="en-GB"/>
        </w:rPr>
      </w:pPr>
      <w:r w:rsidRPr="004A7246">
        <w:rPr>
          <w:lang w:val="en-GB"/>
        </w:rPr>
        <w:t>consider</w:t>
      </w:r>
      <w:r>
        <w:rPr>
          <w:lang w:val="en-GB"/>
        </w:rPr>
        <w:t>ed</w:t>
      </w:r>
      <w:r w:rsidRPr="004A7246">
        <w:rPr>
          <w:lang w:val="en-GB"/>
        </w:rPr>
        <w:t xml:space="preserve"> that investment in social, economic and territorial cohesion is necessary to achieve economic growth and create jobs in the region</w:t>
      </w:r>
      <w:r w:rsidR="00806001">
        <w:rPr>
          <w:lang w:val="en-GB"/>
        </w:rPr>
        <w:t>;</w:t>
      </w:r>
      <w:r w:rsidRPr="004A7246">
        <w:rPr>
          <w:lang w:val="en-GB"/>
        </w:rPr>
        <w:t xml:space="preserve"> recommend</w:t>
      </w:r>
      <w:r>
        <w:rPr>
          <w:lang w:val="en-GB"/>
        </w:rPr>
        <w:t>ed</w:t>
      </w:r>
      <w:r w:rsidRPr="004A7246">
        <w:rPr>
          <w:lang w:val="en-GB"/>
        </w:rPr>
        <w:t xml:space="preserve"> that the Commission also prioritise the inclusion of human capital-related reforms and investments in the Reform Agendas, in order to address the limited proportion of such investments supported under the Economic and Investment Plan</w:t>
      </w:r>
      <w:r w:rsidR="00806001">
        <w:rPr>
          <w:lang w:val="en-GB"/>
        </w:rPr>
        <w:t>;</w:t>
      </w:r>
      <w:r w:rsidRPr="004A7246">
        <w:rPr>
          <w:lang w:val="en-GB"/>
        </w:rPr>
        <w:t xml:space="preserve"> also recommend</w:t>
      </w:r>
      <w:r>
        <w:rPr>
          <w:lang w:val="en-GB"/>
        </w:rPr>
        <w:t>ed</w:t>
      </w:r>
      <w:r w:rsidRPr="004A7246">
        <w:rPr>
          <w:lang w:val="en-GB"/>
        </w:rPr>
        <w:t xml:space="preserve"> setting social and development-based outcome indicators for all measures included in the Reform Agendas</w:t>
      </w:r>
      <w:r>
        <w:rPr>
          <w:lang w:val="en-GB"/>
        </w:rPr>
        <w:t>;</w:t>
      </w:r>
    </w:p>
    <w:p w14:paraId="3A1A7AAD" w14:textId="77777777" w:rsidR="004A7246" w:rsidRDefault="004A7246" w:rsidP="004A7246">
      <w:pPr>
        <w:pStyle w:val="ListParagraph"/>
        <w:spacing w:after="0"/>
        <w:ind w:left="567"/>
        <w:jc w:val="both"/>
        <w:rPr>
          <w:lang w:val="en-GB"/>
        </w:rPr>
      </w:pPr>
    </w:p>
    <w:p w14:paraId="10A22B11" w14:textId="78AB48A2" w:rsidR="00392266" w:rsidRPr="00245B16" w:rsidRDefault="004A7246" w:rsidP="00001F3C">
      <w:pPr>
        <w:pStyle w:val="ListParagraph"/>
        <w:numPr>
          <w:ilvl w:val="0"/>
          <w:numId w:val="1"/>
        </w:numPr>
        <w:spacing w:after="0"/>
        <w:ind w:left="567" w:hanging="567"/>
        <w:jc w:val="both"/>
        <w:rPr>
          <w:lang w:val="en-GB"/>
        </w:rPr>
      </w:pPr>
      <w:r w:rsidRPr="004A7246">
        <w:rPr>
          <w:lang w:val="en-GB"/>
        </w:rPr>
        <w:lastRenderedPageBreak/>
        <w:t>recommend</w:t>
      </w:r>
      <w:r>
        <w:rPr>
          <w:lang w:val="en-GB"/>
        </w:rPr>
        <w:t>ed</w:t>
      </w:r>
      <w:r w:rsidRPr="004A7246">
        <w:rPr>
          <w:lang w:val="en-GB"/>
        </w:rPr>
        <w:t xml:space="preserve"> that the implementation of the New Growth Plan </w:t>
      </w:r>
      <w:r w:rsidR="00806001">
        <w:rPr>
          <w:lang w:val="en-GB"/>
        </w:rPr>
        <w:t>be</w:t>
      </w:r>
      <w:r w:rsidRPr="004A7246">
        <w:rPr>
          <w:lang w:val="en-GB"/>
        </w:rPr>
        <w:t xml:space="preserve"> closely followed by measures aimed at developing national administrative capacities as well as those of </w:t>
      </w:r>
      <w:r w:rsidR="00806001">
        <w:rPr>
          <w:lang w:val="en-GB"/>
        </w:rPr>
        <w:t xml:space="preserve">the </w:t>
      </w:r>
      <w:r w:rsidRPr="004A7246">
        <w:rPr>
          <w:lang w:val="en-GB"/>
        </w:rPr>
        <w:t>social and economic partners, which are crucial for improving the quality of social and civic dialogue in candidate countries</w:t>
      </w:r>
      <w:r w:rsidR="00E949A4" w:rsidRPr="00245B16">
        <w:rPr>
          <w:lang w:val="en-GB"/>
        </w:rPr>
        <w:t>;</w:t>
      </w:r>
    </w:p>
    <w:p w14:paraId="385AD37D" w14:textId="77777777" w:rsidR="00392266" w:rsidRPr="00245B16" w:rsidRDefault="00392266">
      <w:pPr>
        <w:spacing w:after="0"/>
        <w:jc w:val="both"/>
        <w:rPr>
          <w:lang w:val="en-GB"/>
        </w:rPr>
      </w:pPr>
    </w:p>
    <w:p w14:paraId="0F70319D" w14:textId="298F8B0C" w:rsidR="00392266" w:rsidRPr="00245B16" w:rsidRDefault="004A7246" w:rsidP="00001F3C">
      <w:pPr>
        <w:pStyle w:val="ListParagraph"/>
        <w:numPr>
          <w:ilvl w:val="0"/>
          <w:numId w:val="1"/>
        </w:numPr>
        <w:spacing w:after="0"/>
        <w:ind w:left="567" w:hanging="567"/>
        <w:jc w:val="both"/>
        <w:rPr>
          <w:lang w:val="en-GB"/>
        </w:rPr>
      </w:pPr>
      <w:r>
        <w:rPr>
          <w:lang w:val="en-GB"/>
        </w:rPr>
        <w:t>i</w:t>
      </w:r>
      <w:r w:rsidRPr="004A7246">
        <w:rPr>
          <w:lang w:val="en-GB"/>
        </w:rPr>
        <w:t>n line with the EU partnership principle and the social and economic objectives of the Plan, insist</w:t>
      </w:r>
      <w:r>
        <w:rPr>
          <w:lang w:val="en-GB"/>
        </w:rPr>
        <w:t>ed</w:t>
      </w:r>
      <w:r w:rsidRPr="004A7246">
        <w:rPr>
          <w:lang w:val="en-GB"/>
        </w:rPr>
        <w:t xml:space="preserve"> that </w:t>
      </w:r>
      <w:r w:rsidR="00806001">
        <w:rPr>
          <w:lang w:val="en-GB"/>
        </w:rPr>
        <w:t xml:space="preserve">the </w:t>
      </w:r>
      <w:r w:rsidRPr="004A7246">
        <w:rPr>
          <w:lang w:val="en-GB"/>
        </w:rPr>
        <w:t xml:space="preserve">social partners and civil society must be </w:t>
      </w:r>
      <w:r w:rsidR="00341AA0">
        <w:rPr>
          <w:lang w:val="en-GB"/>
        </w:rPr>
        <w:t xml:space="preserve">supported </w:t>
      </w:r>
      <w:r w:rsidR="00806001">
        <w:rPr>
          <w:lang w:val="en-GB"/>
        </w:rPr>
        <w:t xml:space="preserve">in being </w:t>
      </w:r>
      <w:r w:rsidR="00AA48BF">
        <w:rPr>
          <w:lang w:val="en-GB"/>
        </w:rPr>
        <w:t>actively</w:t>
      </w:r>
      <w:r w:rsidR="00341AA0">
        <w:rPr>
          <w:lang w:val="en-GB"/>
        </w:rPr>
        <w:t xml:space="preserve"> </w:t>
      </w:r>
      <w:r w:rsidRPr="004A7246">
        <w:rPr>
          <w:lang w:val="en-GB"/>
        </w:rPr>
        <w:t xml:space="preserve">involved in </w:t>
      </w:r>
      <w:r w:rsidR="003F005D">
        <w:rPr>
          <w:lang w:val="en-GB"/>
        </w:rPr>
        <w:t xml:space="preserve">developing, </w:t>
      </w:r>
      <w:r w:rsidRPr="004A7246">
        <w:rPr>
          <w:lang w:val="en-GB"/>
        </w:rPr>
        <w:t>implementing, monitoring and evaluating the Reform Agendas in a timely and meaningful manner</w:t>
      </w:r>
      <w:r w:rsidR="00806001">
        <w:rPr>
          <w:lang w:val="en-GB"/>
        </w:rPr>
        <w:t>;</w:t>
      </w:r>
      <w:r w:rsidRPr="004A7246">
        <w:rPr>
          <w:lang w:val="en-GB"/>
        </w:rPr>
        <w:t xml:space="preserve"> </w:t>
      </w:r>
      <w:r w:rsidR="00AA48BF">
        <w:rPr>
          <w:lang w:val="en-GB"/>
        </w:rPr>
        <w:t>regret</w:t>
      </w:r>
      <w:r w:rsidR="00806001">
        <w:rPr>
          <w:lang w:val="en-GB"/>
        </w:rPr>
        <w:t>ted</w:t>
      </w:r>
      <w:r w:rsidR="0014014B">
        <w:rPr>
          <w:lang w:val="en-GB"/>
        </w:rPr>
        <w:t xml:space="preserve"> </w:t>
      </w:r>
      <w:r w:rsidR="00A42EF2">
        <w:rPr>
          <w:lang w:val="en-GB"/>
        </w:rPr>
        <w:t xml:space="preserve">that </w:t>
      </w:r>
      <w:r w:rsidR="00806001">
        <w:rPr>
          <w:lang w:val="en-GB"/>
        </w:rPr>
        <w:t xml:space="preserve">the </w:t>
      </w:r>
      <w:r w:rsidR="00C51386">
        <w:rPr>
          <w:lang w:val="en-GB"/>
        </w:rPr>
        <w:t xml:space="preserve">social partners were </w:t>
      </w:r>
      <w:r w:rsidR="003F005D">
        <w:rPr>
          <w:lang w:val="en-GB"/>
        </w:rPr>
        <w:t xml:space="preserve">so far </w:t>
      </w:r>
      <w:r w:rsidR="00C51386">
        <w:rPr>
          <w:lang w:val="en-GB"/>
        </w:rPr>
        <w:t>only informed of</w:t>
      </w:r>
      <w:r w:rsidR="00010A31">
        <w:rPr>
          <w:lang w:val="en-GB"/>
        </w:rPr>
        <w:t>,</w:t>
      </w:r>
      <w:r w:rsidR="00C51386">
        <w:rPr>
          <w:lang w:val="en-GB"/>
        </w:rPr>
        <w:t xml:space="preserve"> but not involved in</w:t>
      </w:r>
      <w:r w:rsidR="00010A31">
        <w:rPr>
          <w:lang w:val="en-GB"/>
        </w:rPr>
        <w:t>,</w:t>
      </w:r>
      <w:r w:rsidR="00C51386">
        <w:rPr>
          <w:lang w:val="en-GB"/>
        </w:rPr>
        <w:t xml:space="preserve"> the </w:t>
      </w:r>
      <w:r w:rsidR="0014014B">
        <w:rPr>
          <w:lang w:val="en-GB"/>
        </w:rPr>
        <w:t>development</w:t>
      </w:r>
      <w:r w:rsidR="00C51386">
        <w:rPr>
          <w:lang w:val="en-GB"/>
        </w:rPr>
        <w:t xml:space="preserve"> of the Reform Agendas</w:t>
      </w:r>
      <w:r w:rsidR="00D125A4">
        <w:rPr>
          <w:lang w:val="en-GB"/>
        </w:rPr>
        <w:t xml:space="preserve"> in the Western Balkans</w:t>
      </w:r>
      <w:r w:rsidR="00806001">
        <w:rPr>
          <w:lang w:val="en-GB"/>
        </w:rPr>
        <w:t>;</w:t>
      </w:r>
      <w:r w:rsidR="00C51386">
        <w:rPr>
          <w:lang w:val="en-GB"/>
        </w:rPr>
        <w:t xml:space="preserve"> </w:t>
      </w:r>
      <w:r w:rsidR="003F005D">
        <w:rPr>
          <w:lang w:val="en-GB"/>
        </w:rPr>
        <w:t xml:space="preserve">underlines </w:t>
      </w:r>
      <w:r w:rsidRPr="004A7246">
        <w:rPr>
          <w:lang w:val="en-GB"/>
        </w:rPr>
        <w:t xml:space="preserve">that the Reform Agendas </w:t>
      </w:r>
      <w:r w:rsidR="00C51386">
        <w:rPr>
          <w:lang w:val="en-GB"/>
        </w:rPr>
        <w:t xml:space="preserve">and subsequent binding </w:t>
      </w:r>
      <w:r w:rsidR="00806001">
        <w:rPr>
          <w:lang w:val="en-GB"/>
        </w:rPr>
        <w:t>a</w:t>
      </w:r>
      <w:r w:rsidR="00C51386">
        <w:rPr>
          <w:lang w:val="en-GB"/>
        </w:rPr>
        <w:t xml:space="preserve">greements </w:t>
      </w:r>
      <w:r w:rsidR="003F005D">
        <w:rPr>
          <w:lang w:val="en-GB"/>
        </w:rPr>
        <w:t>must</w:t>
      </w:r>
      <w:r w:rsidRPr="004A7246">
        <w:rPr>
          <w:lang w:val="en-GB"/>
        </w:rPr>
        <w:t xml:space="preserve"> include a summary of the</w:t>
      </w:r>
      <w:r w:rsidR="00341AA0" w:rsidRPr="00BD0F5A">
        <w:rPr>
          <w:lang w:val="en-GB"/>
        </w:rPr>
        <w:t xml:space="preserve"> relevant mechanisms for engag</w:t>
      </w:r>
      <w:r w:rsidR="00806001">
        <w:rPr>
          <w:lang w:val="en-GB"/>
        </w:rPr>
        <w:t>ing the</w:t>
      </w:r>
      <w:r w:rsidR="00341AA0" w:rsidRPr="00BD0F5A">
        <w:rPr>
          <w:lang w:val="en-GB"/>
        </w:rPr>
        <w:t xml:space="preserve"> social partners and civil society</w:t>
      </w:r>
      <w:r w:rsidR="00C51386">
        <w:rPr>
          <w:lang w:val="en-GB"/>
        </w:rPr>
        <w:t>,</w:t>
      </w:r>
      <w:r w:rsidR="00341AA0" w:rsidRPr="00BD0F5A">
        <w:rPr>
          <w:lang w:val="en-GB"/>
        </w:rPr>
        <w:t xml:space="preserve"> and of the</w:t>
      </w:r>
      <w:r w:rsidR="00341AA0">
        <w:rPr>
          <w:lang w:val="en-GB"/>
        </w:rPr>
        <w:t xml:space="preserve"> </w:t>
      </w:r>
      <w:r w:rsidRPr="004A7246">
        <w:rPr>
          <w:lang w:val="en-GB"/>
        </w:rPr>
        <w:t xml:space="preserve">consultation process </w:t>
      </w:r>
      <w:r w:rsidR="00341AA0" w:rsidRPr="00BD0F5A">
        <w:rPr>
          <w:lang w:val="en-GB"/>
        </w:rPr>
        <w:t xml:space="preserve">and respective indicators </w:t>
      </w:r>
      <w:r w:rsidRPr="004A7246">
        <w:rPr>
          <w:lang w:val="en-GB"/>
        </w:rPr>
        <w:t xml:space="preserve">outlining how the input of stakeholders was </w:t>
      </w:r>
      <w:r w:rsidR="00341AA0">
        <w:rPr>
          <w:lang w:val="en-GB"/>
        </w:rPr>
        <w:t>taken into account</w:t>
      </w:r>
      <w:r w:rsidR="00D62BE8" w:rsidRPr="00245B16">
        <w:rPr>
          <w:lang w:val="en-GB"/>
        </w:rPr>
        <w:t>;</w:t>
      </w:r>
      <w:r w:rsidR="003F005D">
        <w:rPr>
          <w:lang w:val="en-GB"/>
        </w:rPr>
        <w:t xml:space="preserve"> </w:t>
      </w:r>
      <w:r w:rsidR="003F005D" w:rsidRPr="003F005D">
        <w:rPr>
          <w:lang w:val="en-GB"/>
        </w:rPr>
        <w:t>and recommends that the subsequent binding agreements include an outline of the relevant mechanisms for engaging the social partners and civil society, together with respective indicators</w:t>
      </w:r>
      <w:r w:rsidR="003F005D">
        <w:rPr>
          <w:lang w:val="en-GB"/>
        </w:rPr>
        <w:t>.</w:t>
      </w:r>
    </w:p>
    <w:p w14:paraId="5E2C0749" w14:textId="77777777" w:rsidR="00392266" w:rsidRPr="00245B16" w:rsidRDefault="00392266">
      <w:pPr>
        <w:spacing w:after="0"/>
        <w:jc w:val="both"/>
        <w:rPr>
          <w:lang w:val="en-GB"/>
        </w:rPr>
      </w:pPr>
    </w:p>
    <w:p w14:paraId="26DBEC0F" w14:textId="53CF7590" w:rsidR="00392266" w:rsidRPr="00245B16" w:rsidRDefault="004A7246" w:rsidP="00001F3C">
      <w:pPr>
        <w:pStyle w:val="ListParagraph"/>
        <w:numPr>
          <w:ilvl w:val="0"/>
          <w:numId w:val="1"/>
        </w:numPr>
        <w:spacing w:after="0"/>
        <w:ind w:left="567" w:hanging="567"/>
        <w:jc w:val="both"/>
        <w:rPr>
          <w:lang w:val="en-GB"/>
        </w:rPr>
      </w:pPr>
      <w:r>
        <w:rPr>
          <w:lang w:val="en-GB"/>
        </w:rPr>
        <w:t>b</w:t>
      </w:r>
      <w:r w:rsidRPr="004A7246">
        <w:rPr>
          <w:lang w:val="en-GB"/>
        </w:rPr>
        <w:t>ased on the experience with implementing the Recovery and Resilience Facility (RRF) in the EU Member States, recommend</w:t>
      </w:r>
      <w:r>
        <w:rPr>
          <w:lang w:val="en-GB"/>
        </w:rPr>
        <w:t>ed</w:t>
      </w:r>
      <w:r w:rsidRPr="004A7246">
        <w:rPr>
          <w:lang w:val="en-GB"/>
        </w:rPr>
        <w:t xml:space="preserve"> establishing country monitoring committees aimed at enhancing the Plan</w:t>
      </w:r>
      <w:r w:rsidR="00AE6539">
        <w:rPr>
          <w:lang w:val="en-GB"/>
        </w:rPr>
        <w:t>’</w:t>
      </w:r>
      <w:r w:rsidRPr="004A7246">
        <w:rPr>
          <w:lang w:val="en-GB"/>
        </w:rPr>
        <w:t>s implementation, coordination and monitoring</w:t>
      </w:r>
      <w:r w:rsidR="00010A31">
        <w:rPr>
          <w:lang w:val="en-GB"/>
        </w:rPr>
        <w:t>, noting that s</w:t>
      </w:r>
      <w:r w:rsidRPr="004A7246">
        <w:rPr>
          <w:lang w:val="en-GB"/>
        </w:rPr>
        <w:t xml:space="preserve">uch committees should include </w:t>
      </w:r>
      <w:r w:rsidR="00AE6539">
        <w:rPr>
          <w:lang w:val="en-GB"/>
        </w:rPr>
        <w:t xml:space="preserve">the </w:t>
      </w:r>
      <w:r w:rsidRPr="004A7246">
        <w:rPr>
          <w:lang w:val="en-GB"/>
        </w:rPr>
        <w:t>social partners, as well as specialised civil society organisations (CSOs) from the beneficiary countries</w:t>
      </w:r>
      <w:r w:rsidR="00D62BE8" w:rsidRPr="00245B16">
        <w:rPr>
          <w:lang w:val="en-GB"/>
        </w:rPr>
        <w:t>;</w:t>
      </w:r>
    </w:p>
    <w:p w14:paraId="1F499F8B" w14:textId="77777777" w:rsidR="00392266" w:rsidRPr="00245B16" w:rsidRDefault="00392266">
      <w:pPr>
        <w:spacing w:after="0"/>
        <w:jc w:val="both"/>
        <w:rPr>
          <w:lang w:val="en-GB"/>
        </w:rPr>
      </w:pPr>
    </w:p>
    <w:p w14:paraId="667A5490" w14:textId="58DE06C1" w:rsidR="00392266" w:rsidRPr="00245B16" w:rsidRDefault="004A7246" w:rsidP="00001F3C">
      <w:pPr>
        <w:pStyle w:val="ListParagraph"/>
        <w:numPr>
          <w:ilvl w:val="0"/>
          <w:numId w:val="1"/>
        </w:numPr>
        <w:spacing w:after="0"/>
        <w:ind w:left="567" w:hanging="567"/>
        <w:jc w:val="both"/>
        <w:rPr>
          <w:lang w:val="en-GB"/>
        </w:rPr>
      </w:pPr>
      <w:r>
        <w:rPr>
          <w:lang w:val="en-GB"/>
        </w:rPr>
        <w:t>c</w:t>
      </w:r>
      <w:r w:rsidRPr="004A7246">
        <w:rPr>
          <w:lang w:val="en-GB"/>
        </w:rPr>
        <w:t>onsidering that at least half of the funds from the RGFWB would be channelled through the Western Balkans Investment Framework (WBIF), reiterate</w:t>
      </w:r>
      <w:r>
        <w:rPr>
          <w:lang w:val="en-GB"/>
        </w:rPr>
        <w:t>d</w:t>
      </w:r>
      <w:r w:rsidRPr="004A7246">
        <w:rPr>
          <w:lang w:val="en-GB"/>
        </w:rPr>
        <w:t xml:space="preserve"> the need for meaningful and timely involvement of specialised CSOs in RGFWB governance</w:t>
      </w:r>
      <w:r w:rsidR="00010A31">
        <w:rPr>
          <w:lang w:val="en-GB"/>
        </w:rPr>
        <w:t>,</w:t>
      </w:r>
      <w:r w:rsidRPr="004A7246">
        <w:rPr>
          <w:lang w:val="en-GB"/>
        </w:rPr>
        <w:t xml:space="preserve"> and stresse</w:t>
      </w:r>
      <w:r>
        <w:rPr>
          <w:lang w:val="en-GB"/>
        </w:rPr>
        <w:t>d</w:t>
      </w:r>
      <w:r w:rsidRPr="004A7246">
        <w:rPr>
          <w:lang w:val="en-GB"/>
        </w:rPr>
        <w:t xml:space="preserve"> the importance of including them in the WBIF and in the beneficiaries</w:t>
      </w:r>
      <w:r w:rsidR="00AE6539">
        <w:rPr>
          <w:lang w:val="en-GB"/>
        </w:rPr>
        <w:t>’</w:t>
      </w:r>
      <w:r w:rsidRPr="004A7246">
        <w:rPr>
          <w:lang w:val="en-GB"/>
        </w:rPr>
        <w:t xml:space="preserve"> National Investment Committees</w:t>
      </w:r>
      <w:r w:rsidR="00D62BE8" w:rsidRPr="00245B16">
        <w:rPr>
          <w:lang w:val="en-GB"/>
        </w:rPr>
        <w:t>;</w:t>
      </w:r>
    </w:p>
    <w:p w14:paraId="7E0AF392" w14:textId="77777777" w:rsidR="00392266" w:rsidRPr="00245B16" w:rsidRDefault="00392266">
      <w:pPr>
        <w:spacing w:after="0"/>
        <w:jc w:val="both"/>
        <w:rPr>
          <w:lang w:val="en-GB"/>
        </w:rPr>
      </w:pPr>
    </w:p>
    <w:p w14:paraId="052F3163" w14:textId="27C953CA" w:rsidR="00392266" w:rsidRPr="00245B16" w:rsidRDefault="004A7246" w:rsidP="00001F3C">
      <w:pPr>
        <w:pStyle w:val="ListParagraph"/>
        <w:numPr>
          <w:ilvl w:val="0"/>
          <w:numId w:val="1"/>
        </w:numPr>
        <w:spacing w:after="0"/>
        <w:ind w:left="567" w:hanging="567"/>
        <w:jc w:val="both"/>
        <w:rPr>
          <w:lang w:val="en-GB"/>
        </w:rPr>
      </w:pPr>
      <w:r w:rsidRPr="004A7246">
        <w:rPr>
          <w:lang w:val="en-GB"/>
        </w:rPr>
        <w:t>urge</w:t>
      </w:r>
      <w:r>
        <w:rPr>
          <w:lang w:val="en-GB"/>
        </w:rPr>
        <w:t>d</w:t>
      </w:r>
      <w:r w:rsidRPr="004A7246">
        <w:rPr>
          <w:lang w:val="en-GB"/>
        </w:rPr>
        <w:t xml:space="preserve"> the Commission to make Reform Agendas, subsequent agreements and relevant reports publicly available in a timely manner</w:t>
      </w:r>
      <w:r w:rsidR="00AE6539">
        <w:rPr>
          <w:lang w:val="en-GB"/>
        </w:rPr>
        <w:t>;</w:t>
      </w:r>
      <w:r w:rsidRPr="004A7246">
        <w:rPr>
          <w:lang w:val="en-GB"/>
        </w:rPr>
        <w:t xml:space="preserve"> </w:t>
      </w:r>
      <w:r w:rsidR="00AE6539">
        <w:rPr>
          <w:lang w:val="en-GB"/>
        </w:rPr>
        <w:t>f</w:t>
      </w:r>
      <w:r w:rsidRPr="004A7246">
        <w:rPr>
          <w:lang w:val="en-GB"/>
        </w:rPr>
        <w:t>urthermore, with a view to enhancing transparency and societal ownership in the region and promoting regular dialogue and public oversight in the Plan</w:t>
      </w:r>
      <w:r w:rsidR="00AE6539">
        <w:rPr>
          <w:lang w:val="en-GB"/>
        </w:rPr>
        <w:t>’</w:t>
      </w:r>
      <w:r w:rsidRPr="004A7246">
        <w:rPr>
          <w:lang w:val="en-GB"/>
        </w:rPr>
        <w:t xml:space="preserve">s implementation, </w:t>
      </w:r>
      <w:r w:rsidR="00AA48BF" w:rsidRPr="00BD0F5A">
        <w:rPr>
          <w:rFonts w:cstheme="minorHAnsi"/>
          <w:lang w:val="en-GB"/>
        </w:rPr>
        <w:t>welcomed the endorsement of the EESC proposal to establish a scoreboard for the RGFWB based on the Recovery and Resilience Scoreboard in the EU and its adoption by the Council, and look forward to its establishment by making it a key transparency and inclusivity tool</w:t>
      </w:r>
      <w:r w:rsidR="00D62BE8" w:rsidRPr="00245B16">
        <w:rPr>
          <w:lang w:val="en-GB"/>
        </w:rPr>
        <w:t>;</w:t>
      </w:r>
    </w:p>
    <w:p w14:paraId="7E86547D" w14:textId="77777777" w:rsidR="00392266" w:rsidRPr="00245B16" w:rsidRDefault="00392266">
      <w:pPr>
        <w:spacing w:after="0"/>
        <w:jc w:val="both"/>
        <w:rPr>
          <w:lang w:val="en-GB"/>
        </w:rPr>
      </w:pPr>
    </w:p>
    <w:p w14:paraId="08828F16" w14:textId="3EC6D5FC" w:rsidR="00844B62" w:rsidRDefault="00844B62" w:rsidP="004A7246">
      <w:pPr>
        <w:pStyle w:val="ListParagraph"/>
        <w:numPr>
          <w:ilvl w:val="0"/>
          <w:numId w:val="1"/>
        </w:numPr>
        <w:spacing w:after="0"/>
        <w:ind w:left="567" w:hanging="567"/>
        <w:jc w:val="both"/>
        <w:rPr>
          <w:lang w:val="en-GB"/>
        </w:rPr>
      </w:pPr>
      <w:r w:rsidRPr="00844B62">
        <w:rPr>
          <w:lang w:val="en-GB"/>
        </w:rPr>
        <w:t>call</w:t>
      </w:r>
      <w:r>
        <w:rPr>
          <w:lang w:val="en-GB"/>
        </w:rPr>
        <w:t>ed</w:t>
      </w:r>
      <w:r w:rsidRPr="00844B62">
        <w:rPr>
          <w:lang w:val="en-GB"/>
        </w:rPr>
        <w:t xml:space="preserve"> for public and timely availability of all key RGFWB documents and assessment reports, as well as dedicated websites in local languages for Western Balkans Scoreboards, </w:t>
      </w:r>
      <w:r w:rsidR="00AE6539">
        <w:rPr>
          <w:lang w:val="en-GB"/>
        </w:rPr>
        <w:t xml:space="preserve">in order </w:t>
      </w:r>
      <w:r w:rsidRPr="00844B62">
        <w:rPr>
          <w:lang w:val="en-GB"/>
        </w:rPr>
        <w:t>to facilitate civil society participation and monitoring</w:t>
      </w:r>
      <w:r>
        <w:rPr>
          <w:lang w:val="en-GB"/>
        </w:rPr>
        <w:t>;</w:t>
      </w:r>
    </w:p>
    <w:p w14:paraId="1498635A" w14:textId="77777777" w:rsidR="00844B62" w:rsidRDefault="00844B62" w:rsidP="00844B62">
      <w:pPr>
        <w:pStyle w:val="ListParagraph"/>
        <w:spacing w:after="0"/>
        <w:ind w:left="567"/>
        <w:jc w:val="both"/>
        <w:rPr>
          <w:lang w:val="en-GB"/>
        </w:rPr>
      </w:pPr>
    </w:p>
    <w:p w14:paraId="2C8100E5" w14:textId="21C64578" w:rsidR="0010215B" w:rsidRDefault="004A7246" w:rsidP="004A7246">
      <w:pPr>
        <w:pStyle w:val="ListParagraph"/>
        <w:numPr>
          <w:ilvl w:val="0"/>
          <w:numId w:val="1"/>
        </w:numPr>
        <w:spacing w:after="0"/>
        <w:ind w:left="567" w:hanging="567"/>
        <w:jc w:val="both"/>
        <w:rPr>
          <w:lang w:val="en-GB"/>
        </w:rPr>
      </w:pPr>
      <w:r>
        <w:rPr>
          <w:lang w:val="en-GB"/>
        </w:rPr>
        <w:t xml:space="preserve">stressed </w:t>
      </w:r>
      <w:r w:rsidRPr="004A7246">
        <w:rPr>
          <w:lang w:val="en-GB"/>
        </w:rPr>
        <w:t>the importance of regional cooperation and good neighbourly relations throughout the EU accession process</w:t>
      </w:r>
      <w:r w:rsidR="00AE6539">
        <w:rPr>
          <w:lang w:val="en-GB"/>
        </w:rPr>
        <w:t>,</w:t>
      </w:r>
      <w:r w:rsidRPr="004A7246">
        <w:rPr>
          <w:lang w:val="en-GB"/>
        </w:rPr>
        <w:t xml:space="preserve"> and welcome</w:t>
      </w:r>
      <w:r>
        <w:rPr>
          <w:lang w:val="en-GB"/>
        </w:rPr>
        <w:t>d</w:t>
      </w:r>
      <w:r w:rsidRPr="004A7246">
        <w:rPr>
          <w:lang w:val="en-GB"/>
        </w:rPr>
        <w:t xml:space="preserve"> the focus in the Commission</w:t>
      </w:r>
      <w:r w:rsidR="00AE6539">
        <w:rPr>
          <w:lang w:val="en-GB"/>
        </w:rPr>
        <w:t>’</w:t>
      </w:r>
      <w:r w:rsidRPr="004A7246">
        <w:rPr>
          <w:lang w:val="en-GB"/>
        </w:rPr>
        <w:t>s proposal on developing the Common Regional Market</w:t>
      </w:r>
      <w:r w:rsidR="00AE6539">
        <w:rPr>
          <w:lang w:val="en-GB"/>
        </w:rPr>
        <w:t>;</w:t>
      </w:r>
      <w:r w:rsidRPr="004A7246">
        <w:rPr>
          <w:lang w:val="en-GB"/>
        </w:rPr>
        <w:t xml:space="preserve"> </w:t>
      </w:r>
      <w:r w:rsidR="00AE6539">
        <w:rPr>
          <w:lang w:val="en-GB"/>
        </w:rPr>
        <w:t>h</w:t>
      </w:r>
      <w:r w:rsidRPr="004A7246">
        <w:rPr>
          <w:lang w:val="en-GB"/>
        </w:rPr>
        <w:t>owever, propose</w:t>
      </w:r>
      <w:r>
        <w:rPr>
          <w:lang w:val="en-GB"/>
        </w:rPr>
        <w:t>d</w:t>
      </w:r>
      <w:r w:rsidRPr="004A7246">
        <w:rPr>
          <w:lang w:val="en-GB"/>
        </w:rPr>
        <w:t xml:space="preserve"> establishing an objective and transparent monitoring system for implementing commitments, with the involvement of </w:t>
      </w:r>
      <w:r w:rsidR="00AE6539">
        <w:rPr>
          <w:lang w:val="en-GB"/>
        </w:rPr>
        <w:t xml:space="preserve">the </w:t>
      </w:r>
      <w:r w:rsidRPr="004A7246">
        <w:rPr>
          <w:lang w:val="en-GB"/>
        </w:rPr>
        <w:t>social partners and CSOs and the political will to apply reversibility mechanisms when needed</w:t>
      </w:r>
      <w:r w:rsidR="0010215B">
        <w:rPr>
          <w:lang w:val="en-GB"/>
        </w:rPr>
        <w:t>;</w:t>
      </w:r>
    </w:p>
    <w:p w14:paraId="09A58538" w14:textId="77777777" w:rsidR="0010215B" w:rsidRDefault="0010215B" w:rsidP="0010215B">
      <w:pPr>
        <w:pStyle w:val="ListParagraph"/>
        <w:spacing w:after="0"/>
        <w:ind w:left="567"/>
        <w:jc w:val="both"/>
        <w:rPr>
          <w:lang w:val="en-GB"/>
        </w:rPr>
      </w:pPr>
    </w:p>
    <w:p w14:paraId="68166308" w14:textId="643CD835" w:rsidR="00D125A4" w:rsidRDefault="00D125A4" w:rsidP="004A7246">
      <w:pPr>
        <w:pStyle w:val="ListParagraph"/>
        <w:numPr>
          <w:ilvl w:val="0"/>
          <w:numId w:val="1"/>
        </w:numPr>
        <w:spacing w:after="0"/>
        <w:ind w:left="567" w:hanging="567"/>
        <w:jc w:val="both"/>
        <w:rPr>
          <w:lang w:val="en-GB"/>
        </w:rPr>
      </w:pPr>
      <w:r w:rsidRPr="00D125A4">
        <w:rPr>
          <w:lang w:val="en-GB"/>
        </w:rPr>
        <w:t xml:space="preserve">called for intensified diplomatic efforts to resolve the ongoing political </w:t>
      </w:r>
      <w:r>
        <w:rPr>
          <w:lang w:val="en-GB"/>
        </w:rPr>
        <w:t>disputes</w:t>
      </w:r>
      <w:r w:rsidRPr="00D125A4">
        <w:rPr>
          <w:lang w:val="en-GB"/>
        </w:rPr>
        <w:t xml:space="preserve"> in the region, as without </w:t>
      </w:r>
      <w:r>
        <w:rPr>
          <w:lang w:val="en-GB"/>
        </w:rPr>
        <w:t xml:space="preserve">normalisation of relations </w:t>
      </w:r>
      <w:r w:rsidR="00493D02">
        <w:rPr>
          <w:lang w:val="en-GB"/>
        </w:rPr>
        <w:t>between partners in the Western Balkans</w:t>
      </w:r>
      <w:r w:rsidR="00AE6539">
        <w:rPr>
          <w:lang w:val="en-GB"/>
        </w:rPr>
        <w:t>,</w:t>
      </w:r>
      <w:r w:rsidRPr="00D125A4">
        <w:rPr>
          <w:lang w:val="en-GB"/>
        </w:rPr>
        <w:t xml:space="preserve"> attempts to enhance regional cooperation will likely prove </w:t>
      </w:r>
      <w:r w:rsidR="00493D02">
        <w:rPr>
          <w:lang w:val="en-GB"/>
        </w:rPr>
        <w:t xml:space="preserve">to be </w:t>
      </w:r>
      <w:r w:rsidR="007F0F07">
        <w:rPr>
          <w:lang w:val="en-GB"/>
        </w:rPr>
        <w:t>challenging</w:t>
      </w:r>
      <w:r w:rsidR="00493D02">
        <w:rPr>
          <w:lang w:val="en-GB"/>
        </w:rPr>
        <w:t>;</w:t>
      </w:r>
    </w:p>
    <w:p w14:paraId="2881C554" w14:textId="77777777" w:rsidR="00D125A4" w:rsidRDefault="00D125A4" w:rsidP="00760CB8">
      <w:pPr>
        <w:pStyle w:val="ListParagraph"/>
        <w:spacing w:after="0"/>
        <w:ind w:left="567"/>
        <w:jc w:val="both"/>
        <w:rPr>
          <w:lang w:val="en-GB"/>
        </w:rPr>
      </w:pPr>
    </w:p>
    <w:p w14:paraId="51477F32" w14:textId="02739E94" w:rsidR="00392266" w:rsidRPr="004A7246" w:rsidRDefault="005C3585" w:rsidP="004A7246">
      <w:pPr>
        <w:pStyle w:val="ListParagraph"/>
        <w:numPr>
          <w:ilvl w:val="0"/>
          <w:numId w:val="1"/>
        </w:numPr>
        <w:spacing w:after="0"/>
        <w:ind w:left="567" w:hanging="567"/>
        <w:jc w:val="both"/>
        <w:rPr>
          <w:lang w:val="en-GB"/>
        </w:rPr>
      </w:pPr>
      <w:r>
        <w:rPr>
          <w:lang w:val="en-GB"/>
        </w:rPr>
        <w:t xml:space="preserve">welcomed the adoption by the European Parliament of the </w:t>
      </w:r>
      <w:r w:rsidRPr="005C3585">
        <w:rPr>
          <w:lang w:val="en-GB"/>
        </w:rPr>
        <w:t>legislative resolution on the establishment of the Reform and Growth Facility for the Western Balkans</w:t>
      </w:r>
      <w:r>
        <w:rPr>
          <w:lang w:val="en-GB"/>
        </w:rPr>
        <w:t xml:space="preserve"> on 24 April 2024 and proposed amendments to the original proposal by the European Commission that </w:t>
      </w:r>
      <w:r w:rsidR="00AE6539">
        <w:rPr>
          <w:lang w:val="en-GB"/>
        </w:rPr>
        <w:t>are</w:t>
      </w:r>
      <w:r>
        <w:rPr>
          <w:lang w:val="en-GB"/>
        </w:rPr>
        <w:t xml:space="preserve"> in line with the requests from organised civil society</w:t>
      </w:r>
      <w:r w:rsidR="00AE6539">
        <w:rPr>
          <w:lang w:val="en-GB"/>
        </w:rPr>
        <w:t>;</w:t>
      </w:r>
      <w:r>
        <w:rPr>
          <w:lang w:val="en-GB"/>
        </w:rPr>
        <w:t xml:space="preserve"> </w:t>
      </w:r>
      <w:r w:rsidR="008F65A2">
        <w:rPr>
          <w:lang w:val="en-GB"/>
        </w:rPr>
        <w:t>also welcome</w:t>
      </w:r>
      <w:r w:rsidR="00AE6539">
        <w:rPr>
          <w:lang w:val="en-GB"/>
        </w:rPr>
        <w:t>d</w:t>
      </w:r>
      <w:r>
        <w:rPr>
          <w:lang w:val="en-GB"/>
        </w:rPr>
        <w:t xml:space="preserve"> the </w:t>
      </w:r>
      <w:r w:rsidR="008F65A2">
        <w:rPr>
          <w:lang w:val="en-GB"/>
        </w:rPr>
        <w:t xml:space="preserve">final green light </w:t>
      </w:r>
      <w:r w:rsidR="00AE6539">
        <w:rPr>
          <w:lang w:val="en-GB"/>
        </w:rPr>
        <w:t>for</w:t>
      </w:r>
      <w:r>
        <w:rPr>
          <w:lang w:val="en-GB"/>
        </w:rPr>
        <w:t xml:space="preserve"> </w:t>
      </w:r>
      <w:r w:rsidR="008F65A2">
        <w:rPr>
          <w:lang w:val="en-GB"/>
        </w:rPr>
        <w:t>the RGFWB given by</w:t>
      </w:r>
      <w:r w:rsidR="008F65A2" w:rsidRPr="008F65A2">
        <w:rPr>
          <w:lang w:val="en-GB"/>
        </w:rPr>
        <w:t xml:space="preserve"> the Council</w:t>
      </w:r>
      <w:r w:rsidR="008F65A2">
        <w:rPr>
          <w:lang w:val="en-GB"/>
        </w:rPr>
        <w:t xml:space="preserve"> on 7 May 2024</w:t>
      </w:r>
      <w:r>
        <w:rPr>
          <w:lang w:val="en-GB"/>
        </w:rPr>
        <w:t>.</w:t>
      </w:r>
    </w:p>
    <w:p w14:paraId="3EE77CF4" w14:textId="77777777" w:rsidR="00392266" w:rsidRPr="00245B16" w:rsidRDefault="00392266">
      <w:pPr>
        <w:spacing w:after="0"/>
        <w:jc w:val="both"/>
        <w:rPr>
          <w:lang w:val="en-GB"/>
        </w:rPr>
      </w:pPr>
    </w:p>
    <w:p w14:paraId="1D499ED2" w14:textId="0EB23E12" w:rsidR="00392266" w:rsidRPr="00245B16" w:rsidRDefault="00D62BE8" w:rsidP="00001F3C">
      <w:pPr>
        <w:overflowPunct w:val="0"/>
        <w:autoSpaceDE w:val="0"/>
        <w:autoSpaceDN w:val="0"/>
        <w:adjustRightInd w:val="0"/>
        <w:spacing w:after="0" w:line="288" w:lineRule="auto"/>
        <w:jc w:val="center"/>
        <w:textAlignment w:val="baseline"/>
        <w:rPr>
          <w:lang w:val="en-GB"/>
        </w:rPr>
      </w:pPr>
      <w:r w:rsidRPr="00001F3C">
        <w:rPr>
          <w:lang w:val="en-GB"/>
        </w:rPr>
        <w:t>_____________</w:t>
      </w:r>
    </w:p>
    <w:sectPr w:rsidR="00392266" w:rsidRPr="00245B16" w:rsidSect="006F3F63">
      <w:footerReference w:type="default" r:id="rId12"/>
      <w:footnotePr>
        <w:numFmt w:val="chicago"/>
      </w:footnotePr>
      <w:pgSz w:w="11907"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4BA1" w14:textId="77777777" w:rsidR="006F3F63" w:rsidRDefault="006F3F63">
      <w:pPr>
        <w:spacing w:line="240" w:lineRule="auto"/>
      </w:pPr>
      <w:r>
        <w:separator/>
      </w:r>
    </w:p>
  </w:endnote>
  <w:endnote w:type="continuationSeparator" w:id="0">
    <w:p w14:paraId="168616DF" w14:textId="77777777" w:rsidR="006F3F63" w:rsidRDefault="006F3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F348" w14:textId="145F6890" w:rsidR="004C19C9" w:rsidRPr="004C19C9" w:rsidRDefault="004C19C9" w:rsidP="004C19C9">
    <w:pPr>
      <w:pStyle w:val="Footer"/>
    </w:pPr>
    <w:r>
      <w:t>REX/184 – EESC-202</w:t>
    </w:r>
    <w:r w:rsidR="00464E03">
      <w:t>4</w:t>
    </w:r>
    <w:r>
      <w:t>-0</w:t>
    </w:r>
    <w:r w:rsidR="00464E03">
      <w:t>0</w:t>
    </w:r>
    <w:r>
      <w:t xml:space="preserve">-00-00-TCD-TRA (EN) </w:t>
    </w:r>
    <w:r>
      <w:fldChar w:fldCharType="begin"/>
    </w:r>
    <w:r>
      <w:instrText xml:space="preserve"> PAGE  \* Arabic  \* MERGEFORMAT </w:instrText>
    </w:r>
    <w:r>
      <w:fldChar w:fldCharType="separate"/>
    </w:r>
    <w:r w:rsidR="002D0F25">
      <w:rPr>
        <w:noProof/>
      </w:rPr>
      <w:t>1</w:t>
    </w:r>
    <w:r>
      <w:fldChar w:fldCharType="end"/>
    </w:r>
    <w:r>
      <w:t>/</w:t>
    </w:r>
    <w:fldSimple w:instr=" NUMPAGES ">
      <w:r w:rsidR="002D0F2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1412" w14:textId="77777777" w:rsidR="006F3F63" w:rsidRDefault="006F3F63">
      <w:pPr>
        <w:spacing w:after="0"/>
      </w:pPr>
      <w:r>
        <w:separator/>
      </w:r>
    </w:p>
  </w:footnote>
  <w:footnote w:type="continuationSeparator" w:id="0">
    <w:p w14:paraId="29BDBA5C" w14:textId="77777777" w:rsidR="006F3F63" w:rsidRDefault="006F3F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30EC"/>
    <w:multiLevelType w:val="multilevel"/>
    <w:tmpl w:val="4B7C464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fillcolor="white">
      <v:fill color="white"/>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3D"/>
    <w:rsid w:val="00001F3C"/>
    <w:rsid w:val="00010A31"/>
    <w:rsid w:val="000123DD"/>
    <w:rsid w:val="000243A0"/>
    <w:rsid w:val="00027331"/>
    <w:rsid w:val="00042960"/>
    <w:rsid w:val="0004342D"/>
    <w:rsid w:val="00096515"/>
    <w:rsid w:val="000B77CA"/>
    <w:rsid w:val="000C0F5B"/>
    <w:rsid w:val="000C3491"/>
    <w:rsid w:val="000D4937"/>
    <w:rsid w:val="000D4EDA"/>
    <w:rsid w:val="000D74F4"/>
    <w:rsid w:val="000E440B"/>
    <w:rsid w:val="000E49DA"/>
    <w:rsid w:val="000E4C1F"/>
    <w:rsid w:val="0010215B"/>
    <w:rsid w:val="0010501B"/>
    <w:rsid w:val="0014014B"/>
    <w:rsid w:val="00157E76"/>
    <w:rsid w:val="00160667"/>
    <w:rsid w:val="00190FC4"/>
    <w:rsid w:val="001B26BF"/>
    <w:rsid w:val="001C0235"/>
    <w:rsid w:val="001C4D2D"/>
    <w:rsid w:val="001F5537"/>
    <w:rsid w:val="00205CE9"/>
    <w:rsid w:val="00245B16"/>
    <w:rsid w:val="00256C2D"/>
    <w:rsid w:val="00261CFA"/>
    <w:rsid w:val="002642DA"/>
    <w:rsid w:val="00276382"/>
    <w:rsid w:val="00282024"/>
    <w:rsid w:val="00287E62"/>
    <w:rsid w:val="002978B3"/>
    <w:rsid w:val="002C1D39"/>
    <w:rsid w:val="002D0F25"/>
    <w:rsid w:val="003116DC"/>
    <w:rsid w:val="00320E73"/>
    <w:rsid w:val="00337B3D"/>
    <w:rsid w:val="00340302"/>
    <w:rsid w:val="00341AA0"/>
    <w:rsid w:val="0037506C"/>
    <w:rsid w:val="00383F28"/>
    <w:rsid w:val="00385371"/>
    <w:rsid w:val="00392266"/>
    <w:rsid w:val="003F005D"/>
    <w:rsid w:val="004145B2"/>
    <w:rsid w:val="00422613"/>
    <w:rsid w:val="00461A98"/>
    <w:rsid w:val="00464E03"/>
    <w:rsid w:val="004814B2"/>
    <w:rsid w:val="00492867"/>
    <w:rsid w:val="00493D02"/>
    <w:rsid w:val="004A7246"/>
    <w:rsid w:val="004B7FF3"/>
    <w:rsid w:val="004C19C9"/>
    <w:rsid w:val="00501922"/>
    <w:rsid w:val="0054484D"/>
    <w:rsid w:val="00565394"/>
    <w:rsid w:val="005A39DF"/>
    <w:rsid w:val="005A75BD"/>
    <w:rsid w:val="005C3585"/>
    <w:rsid w:val="005D19E5"/>
    <w:rsid w:val="005E4967"/>
    <w:rsid w:val="006079EF"/>
    <w:rsid w:val="00611A05"/>
    <w:rsid w:val="006749EE"/>
    <w:rsid w:val="00680276"/>
    <w:rsid w:val="006829B7"/>
    <w:rsid w:val="006A44BF"/>
    <w:rsid w:val="006C35BC"/>
    <w:rsid w:val="006D3424"/>
    <w:rsid w:val="006E1A38"/>
    <w:rsid w:val="006F3F63"/>
    <w:rsid w:val="00725FC0"/>
    <w:rsid w:val="007272E6"/>
    <w:rsid w:val="0075551E"/>
    <w:rsid w:val="00760CB8"/>
    <w:rsid w:val="00765864"/>
    <w:rsid w:val="00770E35"/>
    <w:rsid w:val="007C3212"/>
    <w:rsid w:val="007F0F07"/>
    <w:rsid w:val="007F7653"/>
    <w:rsid w:val="00806001"/>
    <w:rsid w:val="00840678"/>
    <w:rsid w:val="00841FAF"/>
    <w:rsid w:val="00844B62"/>
    <w:rsid w:val="008637EE"/>
    <w:rsid w:val="0086461A"/>
    <w:rsid w:val="00871F55"/>
    <w:rsid w:val="0087323A"/>
    <w:rsid w:val="008752E7"/>
    <w:rsid w:val="008829C9"/>
    <w:rsid w:val="008A4925"/>
    <w:rsid w:val="008C405F"/>
    <w:rsid w:val="008D329A"/>
    <w:rsid w:val="008D438E"/>
    <w:rsid w:val="008E0EA7"/>
    <w:rsid w:val="008F147D"/>
    <w:rsid w:val="008F65A2"/>
    <w:rsid w:val="00916EE8"/>
    <w:rsid w:val="00921A25"/>
    <w:rsid w:val="009463B1"/>
    <w:rsid w:val="00960D6D"/>
    <w:rsid w:val="00963F5A"/>
    <w:rsid w:val="00964C2B"/>
    <w:rsid w:val="00974FE1"/>
    <w:rsid w:val="00982B4D"/>
    <w:rsid w:val="009A1A4D"/>
    <w:rsid w:val="009E4F8A"/>
    <w:rsid w:val="00A0106F"/>
    <w:rsid w:val="00A31AC1"/>
    <w:rsid w:val="00A42EF2"/>
    <w:rsid w:val="00A52C7E"/>
    <w:rsid w:val="00A53D6E"/>
    <w:rsid w:val="00A54131"/>
    <w:rsid w:val="00AA48BF"/>
    <w:rsid w:val="00AB433D"/>
    <w:rsid w:val="00AD5BD0"/>
    <w:rsid w:val="00AE6539"/>
    <w:rsid w:val="00AF7F54"/>
    <w:rsid w:val="00B6307B"/>
    <w:rsid w:val="00B920DB"/>
    <w:rsid w:val="00BB439C"/>
    <w:rsid w:val="00BC4293"/>
    <w:rsid w:val="00BF39FE"/>
    <w:rsid w:val="00C16225"/>
    <w:rsid w:val="00C17EF1"/>
    <w:rsid w:val="00C26F3B"/>
    <w:rsid w:val="00C311C0"/>
    <w:rsid w:val="00C51386"/>
    <w:rsid w:val="00C743C0"/>
    <w:rsid w:val="00C80DD2"/>
    <w:rsid w:val="00CA5F9B"/>
    <w:rsid w:val="00CC7439"/>
    <w:rsid w:val="00CC75AA"/>
    <w:rsid w:val="00D125A4"/>
    <w:rsid w:val="00D53A1B"/>
    <w:rsid w:val="00D62BE8"/>
    <w:rsid w:val="00D81A9A"/>
    <w:rsid w:val="00D97B10"/>
    <w:rsid w:val="00DA06EC"/>
    <w:rsid w:val="00DA2BEC"/>
    <w:rsid w:val="00DB0FB4"/>
    <w:rsid w:val="00E41FE5"/>
    <w:rsid w:val="00E47AED"/>
    <w:rsid w:val="00E55234"/>
    <w:rsid w:val="00E61711"/>
    <w:rsid w:val="00E81BB5"/>
    <w:rsid w:val="00E9146E"/>
    <w:rsid w:val="00E949A4"/>
    <w:rsid w:val="00EB1E3F"/>
    <w:rsid w:val="00EB2E31"/>
    <w:rsid w:val="00EC3F8F"/>
    <w:rsid w:val="00F52575"/>
    <w:rsid w:val="00F658F3"/>
    <w:rsid w:val="00F71F3B"/>
    <w:rsid w:val="00F87ACF"/>
    <w:rsid w:val="00FE1764"/>
    <w:rsid w:val="00FE1A43"/>
    <w:rsid w:val="00FF170D"/>
    <w:rsid w:val="5DEC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843BA6"/>
  <w15:docId w15:val="{8789BA44-514B-4EE9-A3F4-5AA2A2D6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spacing w:after="0" w:line="288" w:lineRule="auto"/>
      <w:jc w:val="both"/>
    </w:pPr>
    <w:rPr>
      <w:rFonts w:ascii="Times New Roman" w:hAnsi="Times New Roman" w:cs="Times New Roman"/>
    </w:rPr>
  </w:style>
  <w:style w:type="paragraph" w:styleId="Header">
    <w:name w:val="header"/>
    <w:basedOn w:val="Normal"/>
    <w:link w:val="HeaderChar"/>
    <w:uiPriority w:val="99"/>
    <w:unhideWhenUsed/>
    <w:pPr>
      <w:spacing w:after="0" w:line="288" w:lineRule="auto"/>
      <w:jc w:val="both"/>
    </w:pPr>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Times New Roman" w:hAnsi="Times New Roman" w:cs="Times New Roman"/>
      <w:sz w:val="22"/>
      <w:szCs w:val="22"/>
    </w:rPr>
  </w:style>
  <w:style w:type="character" w:customStyle="1" w:styleId="FooterChar">
    <w:name w:val="Footer Char"/>
    <w:basedOn w:val="DefaultParagraphFont"/>
    <w:link w:val="Footer"/>
    <w:uiPriority w:val="99"/>
    <w:qFormat/>
    <w:rPr>
      <w:rFonts w:ascii="Times New Roman" w:hAnsi="Times New Roman" w:cs="Times New Roman"/>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rPr>
      <w:sz w:val="22"/>
      <w:szCs w:val="22"/>
    </w:rPr>
  </w:style>
  <w:style w:type="paragraph" w:styleId="FootnoteText">
    <w:name w:val="footnote text"/>
    <w:basedOn w:val="Normal"/>
    <w:link w:val="FootnoteTextChar"/>
    <w:unhideWhenUsed/>
    <w:qFormat/>
    <w:rsid w:val="00AD5BD0"/>
    <w:pPr>
      <w:spacing w:after="0" w:line="240" w:lineRule="auto"/>
    </w:pPr>
    <w:rPr>
      <w:sz w:val="20"/>
      <w:szCs w:val="20"/>
    </w:rPr>
  </w:style>
  <w:style w:type="character" w:customStyle="1" w:styleId="FootnoteTextChar">
    <w:name w:val="Footnote Text Char"/>
    <w:basedOn w:val="DefaultParagraphFont"/>
    <w:link w:val="FootnoteText"/>
    <w:rsid w:val="00AD5BD0"/>
  </w:style>
  <w:style w:type="character" w:styleId="FootnoteReference">
    <w:name w:val="footnote reference"/>
    <w:basedOn w:val="DefaultParagraphFont"/>
    <w:unhideWhenUsed/>
    <w:qFormat/>
    <w:rsid w:val="00AD5BD0"/>
    <w:rPr>
      <w:vertAlign w:val="superscript"/>
    </w:rPr>
  </w:style>
  <w:style w:type="character" w:customStyle="1" w:styleId="q4iawc">
    <w:name w:val="q4iawc"/>
    <w:basedOn w:val="DefaultParagraphFont"/>
    <w:rsid w:val="00282024"/>
  </w:style>
  <w:style w:type="paragraph" w:styleId="Revision">
    <w:name w:val="Revision"/>
    <w:hidden/>
    <w:uiPriority w:val="99"/>
    <w:semiHidden/>
    <w:rsid w:val="00341A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17651">
      <w:bodyDiv w:val="1"/>
      <w:marLeft w:val="0"/>
      <w:marRight w:val="0"/>
      <w:marTop w:val="0"/>
      <w:marBottom w:val="0"/>
      <w:divBdr>
        <w:top w:val="none" w:sz="0" w:space="0" w:color="auto"/>
        <w:left w:val="none" w:sz="0" w:space="0" w:color="auto"/>
        <w:bottom w:val="none" w:sz="0" w:space="0" w:color="auto"/>
        <w:right w:val="none" w:sz="0" w:space="0" w:color="auto"/>
      </w:divBdr>
    </w:div>
    <w:div w:id="111529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P6FJPSUHKDC2-813086739-1224</_dlc_DocId>
    <_dlc_DocIdUrl xmlns="1299d781-265f-4ceb-999e-e1eca3df2c90">
      <Url>http://dm2016/eesc/2022/_layouts/15/DocIdRedir.aspx?ID=P6FJPSUHKDC2-813086739-1224</Url>
      <Description>P6FJPSUHKDC2-813086739-1224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2022-09-20T12:00:00+00:00</ProductionDate>
    <FicheYear xmlns="1299d781-265f-4ceb-999e-e1eca3df2c90" xsi:nil="true"/>
    <DocumentNumber xmlns="78feecd2-a259-4a5c-b48b-4ffcf5b9c8b1">4501</DocumentNumber>
    <DocumentVersion xmlns="1299d781-265f-4ceb-999e-e1eca3df2c90">0</DocumentVersion>
    <DossierNumber xmlns="1299d781-265f-4ceb-999e-e1eca3df2c90">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282</Value>
      <Value>25</Value>
      <Value>60</Value>
      <Value>280</Value>
      <Value>55</Value>
      <Value>284</Value>
      <Value>11</Value>
      <Value>9</Value>
      <Value>41</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10737</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702FA-B93D-4313-9750-AAB0A577EEEE}">
  <ds:schemaRefs>
    <ds:schemaRef ds:uri="http://schemas.microsoft.com/sharepoint/events"/>
  </ds:schemaRefs>
</ds:datastoreItem>
</file>

<file path=customXml/itemProps2.xml><?xml version="1.0" encoding="utf-8"?>
<ds:datastoreItem xmlns:ds="http://schemas.openxmlformats.org/officeDocument/2006/customXml" ds:itemID="{FFC0BB7D-3BC5-46D1-B2B6-48E75D70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78feecd2-a259-4a5c-b48b-4ffcf5b9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69F0E-F13F-4AB9-8937-8F453FF47F6F}">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78feecd2-a259-4a5c-b48b-4ffcf5b9c8b1"/>
  </ds:schemaRefs>
</ds:datastoreItem>
</file>

<file path=customXml/itemProps4.xml><?xml version="1.0" encoding="utf-8"?>
<ds:datastoreItem xmlns:ds="http://schemas.openxmlformats.org/officeDocument/2006/customXml" ds:itemID="{5CD6EE97-D820-44E1-A864-3FE717AA1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1280</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Conclusions of the Western Balkans Youth conference in Prague on 16 September 2022</vt:lpstr>
      <vt:lpstr>Conclusions of the High Level Conference on Economic and social cohesion in the Western Balkans 15 May 2018, Sofia, Bulgaria</vt:lpstr>
    </vt:vector>
  </TitlesOfParts>
  <Company>CESE-CDR</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the Western Balkans Youth conference in Prague on 16 September 2022</dc:title>
  <dc:subject>Consultative work, various</dc:subject>
  <dc:creator>David Hoic</dc:creator>
  <cp:keywords>EESC-2022-04501-00-00-TCD-TRA-EN</cp:keywords>
  <dc:description>Rapporteur: -  Original language: - EN Date of document: - 20/09/2022 Date of meeting: -  External documents: -  Administrator responsible: - M. HOIC David</dc:description>
  <cp:lastModifiedBy>Hoic David</cp:lastModifiedBy>
  <cp:revision>3</cp:revision>
  <cp:lastPrinted>2022-09-15T08:41:00Z</cp:lastPrinted>
  <dcterms:created xsi:type="dcterms:W3CDTF">2024-05-15T16:57:00Z</dcterms:created>
  <dcterms:modified xsi:type="dcterms:W3CDTF">2024-05-22T11:03:00Z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20/09/2022, 17/05/2018, 07/05/2018</vt:lpwstr>
  </property>
  <property fmtid="{D5CDD505-2E9C-101B-9397-08002B2CF9AE}" pid="4" name="Pref_Time">
    <vt:lpwstr>09:52:16, 16:15:00, 14:32:33</vt:lpwstr>
  </property>
  <property fmtid="{D5CDD505-2E9C-101B-9397-08002B2CF9AE}" pid="5" name="Pref_User">
    <vt:lpwstr>enied, hnic, tvoc</vt:lpwstr>
  </property>
  <property fmtid="{D5CDD505-2E9C-101B-9397-08002B2CF9AE}" pid="6" name="Pref_FileName">
    <vt:lpwstr>EESC-2022-04501-00-00-TCD-TRA-EN-CRR.docx, EESC-2018-02348-00-01-TCD-ORI.docx, EESC-2018-02348-00-00-TCD-ORI.docx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28a172fa-3e9e-4e29-baa4-4e7d25bb7a99</vt:lpwstr>
  </property>
  <property fmtid="{D5CDD505-2E9C-101B-9397-08002B2CF9AE}" pid="9" name="AvailableTranslations">
    <vt:lpwstr>11;#FR|d2afafd3-4c81-4f60-8f52-ee33f2f54ff3;#280;#MK|34ce48bb-063e-4413-a932-50853dc71c5c;#4;#EN|f2175f21-25d7-44a3-96da-d6a61b075e1b;#41;#CS|72f9705b-0217-4fd3-bea2-cbc7ed80e26e;#284;#SQ|5ac17240-8d11-45ec-9893-659b209d7a00;#282;#SR|7f3a1d13-b985-4bfd-981e-afe31377edff;#55;#HR|2f555653-ed1a-4fe6-8362-9082d95989e5</vt:lpwstr>
  </property>
  <property fmtid="{D5CDD505-2E9C-101B-9397-08002B2CF9AE}" pid="10" name="DocumentType_0">
    <vt:lpwstr>TCD|cd9d6eb6-3f4f-424a-b2d1-57c9d450eaaf</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4501</vt:i4>
  </property>
  <property fmtid="{D5CDD505-2E9C-101B-9397-08002B2CF9AE}" pid="14" name="FicheYear">
    <vt:i4>2022</vt:i4>
  </property>
  <property fmtid="{D5CDD505-2E9C-101B-9397-08002B2CF9AE}" pid="15" name="DocumentVersion">
    <vt:i4>0</vt:i4>
  </property>
  <property fmtid="{D5CDD505-2E9C-101B-9397-08002B2CF9AE}" pid="16" name="DossierNumber">
    <vt:i4>184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60;#REX|6820eaf5-116e-436b-ad9c-156f8a94c2a1</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Relations extérieures</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60;#REX|6820eaf5-116e-436b-ad9c-156f8a94c2a1;#25;#TCD|cd9d6eb6-3f4f-424a-b2d1-57c9d450eaaf;#7;#TRA|150d2a88-1431-44e6-a8ca-0bb753ab8672;#9;#Unrestricted|826e22d7-d029-4ec0-a450-0c28ff673572;#4;#EN|f2175f21-25d7-44a3-96da-d6a61b075e1b;#6;#Final|ea5e6674-7b27-4bac-b091-73adbb394efe;#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10737</vt:i4>
  </property>
  <property fmtid="{D5CDD505-2E9C-101B-9397-08002B2CF9AE}" pid="36" name="DocumentLanguage">
    <vt:lpwstr>4;#EN|f2175f21-25d7-44a3-96da-d6a61b075e1b</vt:lpwstr>
  </property>
  <property fmtid="{D5CDD505-2E9C-101B-9397-08002B2CF9AE}" pid="37" name="_docset_NoMedatataSyncRequired">
    <vt:lpwstr>False</vt:lpwstr>
  </property>
  <property fmtid="{D5CDD505-2E9C-101B-9397-08002B2CF9AE}" pid="38" name="GrammarlyDocumentId">
    <vt:lpwstr>c90611579550435ac7fb37c8736d2a5ac1764f7362f83bd44b6a21f881a542e2</vt:lpwstr>
  </property>
</Properties>
</file>