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6A12" w14:textId="559C1D25" w:rsidR="00757ECF" w:rsidRPr="00A45FE2" w:rsidRDefault="00366677" w:rsidP="00223C7F">
      <w:pPr>
        <w:jc w:val="center"/>
        <w:rPr>
          <w:lang w:val="en-GB"/>
        </w:rPr>
      </w:pPr>
      <w:r w:rsidRPr="00CC1714">
        <w:rPr>
          <w:noProof/>
        </w:rPr>
        <mc:AlternateContent>
          <mc:Choice Requires="wps">
            <w:drawing>
              <wp:anchor distT="0" distB="0" distL="114300" distR="114300" simplePos="0" relativeHeight="251659264" behindDoc="1" locked="0" layoutInCell="0" allowOverlap="1" wp14:anchorId="71EDE21B" wp14:editId="68E909F4">
                <wp:simplePos x="0" y="0"/>
                <wp:positionH relativeFrom="page">
                  <wp:posOffset>6766560</wp:posOffset>
                </wp:positionH>
                <wp:positionV relativeFrom="page">
                  <wp:posOffset>10078113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55B7" w14:textId="77777777" w:rsidR="00A22239" w:rsidRPr="00260E65" w:rsidRDefault="00A22239" w:rsidP="00A22239">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DE21B" id="_x0000_t202" coordsize="21600,21600" o:spt="202" path="m,l,21600r21600,l21600,xe">
                <v:stroke joinstyle="miter"/>
                <v:path gradientshapeok="t" o:connecttype="rect"/>
              </v:shapetype>
              <v:shape id="Text Box 17" o:spid="_x0000_s1026" type="#_x0000_t202" style="position:absolute;left:0;text-align:left;margin-left:532.8pt;margin-top:793.5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" o:allowincell="f" filled="f" stroked="f">
                <v:textbox>
                  <w:txbxContent>
                    <w:p w14:paraId="001155B7" w14:textId="77777777" w:rsidR="00A22239" w:rsidRPr="00260E65" w:rsidRDefault="00A22239" w:rsidP="00A22239">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805F4D" w:rsidRPr="00CC1714">
        <w:rPr>
          <w:noProof/>
        </w:rPr>
        <w:drawing>
          <wp:inline distT="0" distB="0" distL="0" distR="0" wp14:anchorId="4F2C0CD3" wp14:editId="67F4CF8B">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41F0AAEF" w14:textId="17BFC2A3" w:rsidR="00A22239" w:rsidRPr="00A45FE2" w:rsidRDefault="00296B70" w:rsidP="00223C7F">
      <w:pPr>
        <w:jc w:val="right"/>
        <w:rPr>
          <w:lang w:val="en-GB"/>
        </w:rPr>
      </w:pPr>
      <w:r w:rsidRPr="00A45FE2">
        <w:rPr>
          <w:lang w:val="en-GB"/>
        </w:rPr>
        <w:t xml:space="preserve">Brussels, </w:t>
      </w:r>
      <w:r w:rsidR="000F12BC">
        <w:rPr>
          <w:lang w:val="en-GB"/>
        </w:rPr>
        <w:t>4 April</w:t>
      </w:r>
      <w:r w:rsidR="00A75699" w:rsidRPr="00A45FE2">
        <w:rPr>
          <w:lang w:val="en-GB"/>
        </w:rPr>
        <w:t xml:space="preserve"> </w:t>
      </w:r>
      <w:r w:rsidR="00B13A28" w:rsidRPr="00A45FE2">
        <w:rPr>
          <w:lang w:val="en-GB"/>
        </w:rPr>
        <w:t>202</w:t>
      </w:r>
      <w:r w:rsidR="003032E5" w:rsidRPr="00A45FE2">
        <w:rPr>
          <w:lang w:val="en-GB"/>
        </w:rPr>
        <w:t>4</w:t>
      </w:r>
    </w:p>
    <w:p w14:paraId="243276CF" w14:textId="5DA95F3B" w:rsidR="00A22239" w:rsidRPr="00A45FE2" w:rsidRDefault="00E729FB" w:rsidP="00223C7F">
      <w:pPr>
        <w:jc w:val="right"/>
        <w:rPr>
          <w:lang w:val="en-GB"/>
        </w:rPr>
      </w:pPr>
      <w:r w:rsidRPr="00A45FE2">
        <w:rPr>
          <w:lang w:val="en-GB"/>
        </w:rPr>
        <w:t>B2_TEN</w:t>
      </w:r>
    </w:p>
    <w:p w14:paraId="5F450BC8" w14:textId="64522385" w:rsidR="00E729FB" w:rsidRPr="00A45FE2" w:rsidRDefault="00E729FB" w:rsidP="00223C7F">
      <w:pPr>
        <w:jc w:val="center"/>
        <w:rPr>
          <w:b/>
          <w:bCs/>
          <w:lang w:val="en-GB"/>
        </w:rPr>
      </w:pPr>
    </w:p>
    <w:p w14:paraId="07FFEC03" w14:textId="7AE81021" w:rsidR="00B27386" w:rsidRPr="00A45FE2" w:rsidRDefault="000F12BC" w:rsidP="00223C7F">
      <w:pPr>
        <w:jc w:val="center"/>
        <w:rPr>
          <w:b/>
          <w:bCs/>
          <w:lang w:val="en-GB"/>
        </w:rPr>
      </w:pPr>
      <w:r>
        <w:rPr>
          <w:b/>
          <w:bCs/>
          <w:lang w:val="en-GB"/>
        </w:rPr>
        <w:t xml:space="preserve">REVISED </w:t>
      </w:r>
      <w:r w:rsidR="00BD7990" w:rsidRPr="00A45FE2">
        <w:rPr>
          <w:b/>
          <w:bCs/>
          <w:lang w:val="en-GB"/>
        </w:rPr>
        <w:t xml:space="preserve">2024 </w:t>
      </w:r>
      <w:r w:rsidR="00B27386" w:rsidRPr="00A45FE2">
        <w:rPr>
          <w:b/>
          <w:bCs/>
          <w:lang w:val="en-GB"/>
        </w:rPr>
        <w:t>TEN SECTION WORK PROGRAMME</w:t>
      </w:r>
    </w:p>
    <w:p w14:paraId="09593E96" w14:textId="15847E58" w:rsidR="008B5349" w:rsidRPr="00A45FE2" w:rsidRDefault="008B5349" w:rsidP="00223C7F">
      <w:pPr>
        <w:rPr>
          <w:lang w:val="en-GB"/>
        </w:rPr>
      </w:pPr>
    </w:p>
    <w:p w14:paraId="40D946BA" w14:textId="1B996778" w:rsidR="00171371" w:rsidRPr="00A45FE2" w:rsidRDefault="00171371" w:rsidP="00223C7F">
      <w:pPr>
        <w:rPr>
          <w:lang w:val="en-GB"/>
        </w:rPr>
      </w:pPr>
    </w:p>
    <w:p w14:paraId="144CB738" w14:textId="4A4FA354" w:rsidR="00A75699" w:rsidRPr="00A45FE2" w:rsidRDefault="00B93837" w:rsidP="00223C7F">
      <w:pPr>
        <w:rPr>
          <w:lang w:val="en-GB"/>
        </w:rPr>
      </w:pPr>
      <w:r w:rsidRPr="00A45FE2">
        <w:rPr>
          <w:lang w:val="en-GB"/>
        </w:rPr>
        <w:t xml:space="preserve">In 2024, the TEN section will continue to contribute to the development of European policies </w:t>
      </w:r>
      <w:r w:rsidR="00A75699" w:rsidRPr="00A45FE2">
        <w:rPr>
          <w:lang w:val="en-GB"/>
        </w:rPr>
        <w:t>on the basis of</w:t>
      </w:r>
      <w:r w:rsidRPr="00A45FE2">
        <w:rPr>
          <w:lang w:val="en-GB"/>
        </w:rPr>
        <w:t xml:space="preserve"> its expertise and </w:t>
      </w:r>
      <w:r w:rsidR="00A75699" w:rsidRPr="00A45FE2">
        <w:rPr>
          <w:lang w:val="en-GB"/>
        </w:rPr>
        <w:t xml:space="preserve">with a view to contributing to </w:t>
      </w:r>
      <w:r w:rsidRPr="00A45FE2">
        <w:rPr>
          <w:lang w:val="en-GB"/>
        </w:rPr>
        <w:t>the new mandate of the European Parliament and the European Commission.</w:t>
      </w:r>
    </w:p>
    <w:p w14:paraId="04E8F217" w14:textId="72924C95" w:rsidR="00AF50EC" w:rsidRPr="00A45FE2" w:rsidRDefault="00AF50EC" w:rsidP="00223C7F">
      <w:pPr>
        <w:rPr>
          <w:lang w:val="en-GB"/>
        </w:rPr>
      </w:pPr>
    </w:p>
    <w:p w14:paraId="477E9FA9" w14:textId="0E1FFCB8" w:rsidR="0041FB93" w:rsidRPr="00A45FE2" w:rsidRDefault="00B93837" w:rsidP="00223C7F">
      <w:pPr>
        <w:rPr>
          <w:lang w:val="en-GB"/>
        </w:rPr>
      </w:pPr>
      <w:r w:rsidRPr="00A45FE2">
        <w:rPr>
          <w:lang w:val="en-GB"/>
        </w:rPr>
        <w:t xml:space="preserve">The TEN Section will draw up its recommendations and disseminate them at various events, </w:t>
      </w:r>
      <w:r w:rsidR="00A75699" w:rsidRPr="00A45FE2">
        <w:rPr>
          <w:lang w:val="en-GB"/>
        </w:rPr>
        <w:t xml:space="preserve">also </w:t>
      </w:r>
      <w:r w:rsidRPr="00A45FE2">
        <w:rPr>
          <w:lang w:val="en-GB"/>
        </w:rPr>
        <w:t xml:space="preserve">taking into account </w:t>
      </w:r>
      <w:r w:rsidR="00A75699" w:rsidRPr="00A45FE2">
        <w:rPr>
          <w:lang w:val="en-GB"/>
        </w:rPr>
        <w:t>some of the objectives</w:t>
      </w:r>
      <w:r w:rsidRPr="00A45FE2">
        <w:rPr>
          <w:lang w:val="en-GB"/>
        </w:rPr>
        <w:t xml:space="preserve"> of the EESC President's</w:t>
      </w:r>
      <w:r w:rsidR="00FE67AE" w:rsidRPr="00A45FE2">
        <w:rPr>
          <w:lang w:val="en-GB"/>
        </w:rPr>
        <w:t xml:space="preserve"> </w:t>
      </w:r>
      <w:r w:rsidR="002A7B5E" w:rsidRPr="00A45FE2">
        <w:rPr>
          <w:lang w:val="en-GB"/>
        </w:rPr>
        <w:t>priorities</w:t>
      </w:r>
      <w:r w:rsidRPr="00A45FE2">
        <w:rPr>
          <w:lang w:val="en-GB"/>
        </w:rPr>
        <w:t xml:space="preserve">, with a particular focus on young people and </w:t>
      </w:r>
      <w:r w:rsidR="00AF50EC" w:rsidRPr="00A45FE2">
        <w:rPr>
          <w:lang w:val="en-GB"/>
        </w:rPr>
        <w:t>di</w:t>
      </w:r>
      <w:r w:rsidRPr="00A45FE2">
        <w:rPr>
          <w:lang w:val="en-GB"/>
        </w:rPr>
        <w:t>sinformation.</w:t>
      </w:r>
      <w:r w:rsidR="00A75699" w:rsidRPr="00A45FE2">
        <w:rPr>
          <w:lang w:val="en-GB"/>
        </w:rPr>
        <w:t xml:space="preserve"> </w:t>
      </w:r>
      <w:r w:rsidR="764477F0" w:rsidRPr="00A45FE2">
        <w:rPr>
          <w:lang w:val="en-GB"/>
        </w:rPr>
        <w:t xml:space="preserve">The promotion of opinions among the EU institutions and civil society stakeholders will </w:t>
      </w:r>
      <w:r w:rsidR="00483745" w:rsidRPr="00A45FE2">
        <w:rPr>
          <w:lang w:val="en-GB"/>
        </w:rPr>
        <w:t xml:space="preserve">remain </w:t>
      </w:r>
      <w:r w:rsidR="00A75699" w:rsidRPr="00A45FE2">
        <w:rPr>
          <w:lang w:val="en-GB"/>
        </w:rPr>
        <w:t>a</w:t>
      </w:r>
      <w:r w:rsidR="764477F0" w:rsidRPr="00A45FE2">
        <w:rPr>
          <w:lang w:val="en-GB"/>
        </w:rPr>
        <w:t xml:space="preserve"> priority of the TEN </w:t>
      </w:r>
      <w:proofErr w:type="gramStart"/>
      <w:r w:rsidR="764477F0" w:rsidRPr="00A45FE2">
        <w:rPr>
          <w:lang w:val="en-GB"/>
        </w:rPr>
        <w:t>section</w:t>
      </w:r>
      <w:proofErr w:type="gramEnd"/>
      <w:r w:rsidR="667AF869" w:rsidRPr="00A45FE2">
        <w:rPr>
          <w:lang w:val="en-GB"/>
        </w:rPr>
        <w:t xml:space="preserve"> in </w:t>
      </w:r>
      <w:r w:rsidR="27591174" w:rsidRPr="00A45FE2">
        <w:rPr>
          <w:lang w:val="en-GB"/>
        </w:rPr>
        <w:t>view</w:t>
      </w:r>
      <w:r w:rsidR="667AF869" w:rsidRPr="00A45FE2">
        <w:rPr>
          <w:lang w:val="en-GB"/>
        </w:rPr>
        <w:t xml:space="preserve"> of optimising the overall outreach and impact </w:t>
      </w:r>
      <w:r w:rsidR="004FFBC9" w:rsidRPr="00A45FE2">
        <w:rPr>
          <w:lang w:val="en-GB"/>
        </w:rPr>
        <w:t xml:space="preserve">of the </w:t>
      </w:r>
      <w:r w:rsidR="00A75699" w:rsidRPr="00A45FE2">
        <w:rPr>
          <w:lang w:val="en-GB"/>
        </w:rPr>
        <w:t>EESC in the policies under the TEN remit</w:t>
      </w:r>
      <w:r w:rsidR="004FFBC9" w:rsidRPr="00A45FE2">
        <w:rPr>
          <w:lang w:val="en-GB"/>
        </w:rPr>
        <w:t>.</w:t>
      </w:r>
    </w:p>
    <w:p w14:paraId="7DEA64A3" w14:textId="10C5C930" w:rsidR="00171371" w:rsidRPr="00A45FE2" w:rsidRDefault="00171371" w:rsidP="00223C7F">
      <w:pPr>
        <w:rPr>
          <w:lang w:val="en-GB"/>
        </w:rPr>
      </w:pPr>
    </w:p>
    <w:p w14:paraId="078300FD" w14:textId="77777777" w:rsidR="003032E5" w:rsidRPr="00A45FE2" w:rsidRDefault="003032E5" w:rsidP="00223C7F">
      <w:pPr>
        <w:rPr>
          <w:lang w:val="en-GB"/>
        </w:rPr>
      </w:pPr>
    </w:p>
    <w:p w14:paraId="3C8A8CF8" w14:textId="0F932BD6" w:rsidR="00AC3374" w:rsidRPr="00CC1714" w:rsidRDefault="00AC3374" w:rsidP="00CC1714">
      <w:pPr>
        <w:pStyle w:val="Heading1"/>
        <w:rPr>
          <w:b/>
          <w:bCs/>
          <w:lang w:val="en-GB"/>
        </w:rPr>
      </w:pPr>
      <w:r w:rsidRPr="00CC1714">
        <w:rPr>
          <w:b/>
          <w:bCs/>
          <w:lang w:val="en-GB"/>
        </w:rPr>
        <w:t>ENERGY</w:t>
      </w:r>
    </w:p>
    <w:p w14:paraId="1C0577C7" w14:textId="5FF8F451" w:rsidR="00955CC6" w:rsidRPr="00A45FE2" w:rsidRDefault="00955CC6" w:rsidP="00D31350">
      <w:pPr>
        <w:keepNext/>
        <w:rPr>
          <w:b/>
          <w:bCs/>
          <w:lang w:val="en-GB"/>
        </w:rPr>
      </w:pPr>
    </w:p>
    <w:p w14:paraId="6CC1A336" w14:textId="5CDE3A16" w:rsidR="003708B5" w:rsidRPr="00CC1714" w:rsidRDefault="003708B5" w:rsidP="00CC1714">
      <w:pPr>
        <w:pStyle w:val="Heading2"/>
        <w:rPr>
          <w:b/>
          <w:bCs/>
          <w:lang w:val="en-GB"/>
        </w:rPr>
      </w:pPr>
      <w:r w:rsidRPr="00CC1714">
        <w:rPr>
          <w:b/>
          <w:bCs/>
          <w:i/>
          <w:iCs/>
          <w:lang w:val="en-GB"/>
        </w:rPr>
        <w:t>Energy grids</w:t>
      </w:r>
    </w:p>
    <w:p w14:paraId="19709A0D" w14:textId="77777777" w:rsidR="003708B5" w:rsidRPr="00A45FE2" w:rsidRDefault="00A75699" w:rsidP="00CB6FDF">
      <w:pPr>
        <w:rPr>
          <w:lang w:val="en-GB"/>
        </w:rPr>
      </w:pPr>
      <w:r w:rsidRPr="00A45FE2">
        <w:rPr>
          <w:lang w:val="en-GB"/>
        </w:rPr>
        <w:t>A</w:t>
      </w:r>
      <w:r w:rsidR="00955CC6" w:rsidRPr="00A45FE2">
        <w:rPr>
          <w:lang w:val="en-GB"/>
        </w:rPr>
        <w:t xml:space="preserve">t the beginning of the year, the EESC will adopt an </w:t>
      </w:r>
      <w:r w:rsidRPr="00A45FE2">
        <w:rPr>
          <w:lang w:val="en-GB"/>
        </w:rPr>
        <w:t>e</w:t>
      </w:r>
      <w:r w:rsidR="00955CC6" w:rsidRPr="00A45FE2">
        <w:rPr>
          <w:lang w:val="en-GB"/>
        </w:rPr>
        <w:t xml:space="preserve">xploratory </w:t>
      </w:r>
      <w:r w:rsidRPr="00C73656">
        <w:rPr>
          <w:lang w:val="en-GB"/>
        </w:rPr>
        <w:t>o</w:t>
      </w:r>
      <w:r w:rsidR="00955CC6" w:rsidRPr="00A45FE2">
        <w:rPr>
          <w:lang w:val="en-GB"/>
        </w:rPr>
        <w:t>pinion, requested by the Belgian Presidency of the Council</w:t>
      </w:r>
      <w:r w:rsidR="00CB6FDF" w:rsidRPr="00A45FE2">
        <w:rPr>
          <w:lang w:val="en-GB"/>
        </w:rPr>
        <w:t xml:space="preserve"> of the EU</w:t>
      </w:r>
      <w:r w:rsidR="00955CC6" w:rsidRPr="00A45FE2">
        <w:rPr>
          <w:lang w:val="en-GB"/>
        </w:rPr>
        <w:t xml:space="preserve">, on cross-border energy infrastructure planning. This </w:t>
      </w:r>
      <w:r w:rsidRPr="00A45FE2">
        <w:rPr>
          <w:lang w:val="en-GB"/>
        </w:rPr>
        <w:t>o</w:t>
      </w:r>
      <w:r w:rsidR="00955CC6" w:rsidRPr="00A45FE2">
        <w:rPr>
          <w:lang w:val="en-GB"/>
        </w:rPr>
        <w:t xml:space="preserve">pinion will feed into the work of the Belgian Presidency in the first semester of 2024, mirroring the work of the Commission with the publication of the Action Plan to facilitate </w:t>
      </w:r>
      <w:r w:rsidR="005A1823" w:rsidRPr="00A45FE2">
        <w:rPr>
          <w:lang w:val="en-GB"/>
        </w:rPr>
        <w:t xml:space="preserve">the </w:t>
      </w:r>
      <w:r w:rsidR="00955CC6" w:rsidRPr="00A45FE2">
        <w:rPr>
          <w:lang w:val="en-GB"/>
        </w:rPr>
        <w:t xml:space="preserve">roll-out </w:t>
      </w:r>
      <w:r w:rsidR="005A1823" w:rsidRPr="00A45FE2">
        <w:rPr>
          <w:lang w:val="en-GB"/>
        </w:rPr>
        <w:t xml:space="preserve">of electricity grids </w:t>
      </w:r>
      <w:r w:rsidR="00955CC6" w:rsidRPr="00A45FE2">
        <w:rPr>
          <w:lang w:val="en-GB"/>
        </w:rPr>
        <w:t xml:space="preserve">in November 2023. </w:t>
      </w:r>
    </w:p>
    <w:p w14:paraId="1D8769CE" w14:textId="0FBBB009" w:rsidR="003708B5" w:rsidRPr="00A45FE2" w:rsidRDefault="003708B5" w:rsidP="00CB6FDF">
      <w:pPr>
        <w:rPr>
          <w:lang w:val="en-GB"/>
        </w:rPr>
      </w:pPr>
    </w:p>
    <w:p w14:paraId="2E5CF2DB" w14:textId="3C8FA422" w:rsidR="003708B5" w:rsidRPr="00CC1714" w:rsidRDefault="003708B5" w:rsidP="00CC1714">
      <w:pPr>
        <w:pStyle w:val="Heading2"/>
        <w:rPr>
          <w:b/>
          <w:bCs/>
          <w:i/>
          <w:iCs/>
          <w:lang w:val="en-GB"/>
        </w:rPr>
      </w:pPr>
      <w:r w:rsidRPr="00CC1714">
        <w:rPr>
          <w:b/>
          <w:bCs/>
          <w:i/>
          <w:iCs/>
          <w:lang w:val="en-GB"/>
        </w:rPr>
        <w:t>Wind power</w:t>
      </w:r>
    </w:p>
    <w:p w14:paraId="6FFD0745" w14:textId="6EF2C432" w:rsidR="00955CC6" w:rsidRPr="00A45FE2" w:rsidRDefault="00955CC6" w:rsidP="00CB6FDF">
      <w:pPr>
        <w:rPr>
          <w:lang w:val="en-GB"/>
        </w:rPr>
      </w:pPr>
      <w:r w:rsidRPr="00A45FE2">
        <w:rPr>
          <w:lang w:val="en-GB"/>
        </w:rPr>
        <w:t xml:space="preserve">Moreover, following the renovated EU Green Deal ambitions in the renewable energy sector, the European Commission published in October 2023 a European Wind Power Action Plan, paired with a Communication on delivering on the EU's offshore energy ambition. This Wind Power Package was designed to support the EU wind industry competitiveness through an acceleration of </w:t>
      </w:r>
      <w:r w:rsidR="005A1823" w:rsidRPr="00A45FE2">
        <w:rPr>
          <w:lang w:val="en-GB"/>
        </w:rPr>
        <w:t xml:space="preserve">the </w:t>
      </w:r>
      <w:r w:rsidRPr="00A45FE2">
        <w:rPr>
          <w:lang w:val="en-GB"/>
        </w:rPr>
        <w:t>permitting</w:t>
      </w:r>
      <w:r w:rsidR="005A1823" w:rsidRPr="00A45FE2">
        <w:rPr>
          <w:lang w:val="en-GB"/>
        </w:rPr>
        <w:t xml:space="preserve"> process</w:t>
      </w:r>
      <w:r w:rsidRPr="00A45FE2">
        <w:rPr>
          <w:lang w:val="en-GB"/>
        </w:rPr>
        <w:t xml:space="preserve">, improved auction design and better access to finance. Following up on this, the TEN Section </w:t>
      </w:r>
      <w:r w:rsidR="00CB6FDF" w:rsidRPr="00A45FE2">
        <w:rPr>
          <w:lang w:val="en-GB"/>
        </w:rPr>
        <w:t>m</w:t>
      </w:r>
      <w:r w:rsidRPr="00A45FE2">
        <w:rPr>
          <w:lang w:val="en-GB"/>
        </w:rPr>
        <w:t>embers will be drafting an opinion that will be adopted in March</w:t>
      </w:r>
      <w:r w:rsidR="00483745" w:rsidRPr="00A45FE2">
        <w:rPr>
          <w:lang w:val="en-GB"/>
        </w:rPr>
        <w:t xml:space="preserve"> 2024</w:t>
      </w:r>
      <w:r w:rsidRPr="00A45FE2">
        <w:rPr>
          <w:lang w:val="en-GB"/>
        </w:rPr>
        <w:t xml:space="preserve">, and build on an experts exchange during the January 2024 Section </w:t>
      </w:r>
      <w:r w:rsidR="00CB6FDF" w:rsidRPr="00A45FE2">
        <w:rPr>
          <w:lang w:val="en-GB"/>
        </w:rPr>
        <w:t>m</w:t>
      </w:r>
      <w:r w:rsidRPr="00A45FE2">
        <w:rPr>
          <w:lang w:val="en-GB"/>
        </w:rPr>
        <w:t>eeting.</w:t>
      </w:r>
    </w:p>
    <w:p w14:paraId="06D2AFA2" w14:textId="6D987A46" w:rsidR="00F96E48" w:rsidRPr="00A45FE2" w:rsidRDefault="00F96E48" w:rsidP="00CB6FDF">
      <w:pPr>
        <w:rPr>
          <w:lang w:val="en-GB"/>
        </w:rPr>
      </w:pPr>
    </w:p>
    <w:p w14:paraId="0D97CC0A" w14:textId="2DCE5474" w:rsidR="003708B5" w:rsidRPr="00CC1714" w:rsidRDefault="003708B5" w:rsidP="00CC1714">
      <w:pPr>
        <w:pStyle w:val="Heading2"/>
        <w:rPr>
          <w:b/>
          <w:bCs/>
          <w:i/>
          <w:iCs/>
          <w:lang w:val="en-GB"/>
        </w:rPr>
      </w:pPr>
      <w:r w:rsidRPr="00CC1714">
        <w:rPr>
          <w:b/>
          <w:bCs/>
          <w:i/>
          <w:iCs/>
          <w:lang w:val="en-GB"/>
        </w:rPr>
        <w:t xml:space="preserve">The electricity </w:t>
      </w:r>
      <w:proofErr w:type="gramStart"/>
      <w:r w:rsidRPr="00CC1714">
        <w:rPr>
          <w:b/>
          <w:bCs/>
          <w:i/>
          <w:iCs/>
          <w:lang w:val="en-GB"/>
        </w:rPr>
        <w:t>market</w:t>
      </w:r>
      <w:proofErr w:type="gramEnd"/>
    </w:p>
    <w:p w14:paraId="16D3A874" w14:textId="641DA44E" w:rsidR="005937D5" w:rsidRPr="00A45FE2" w:rsidRDefault="003779B8" w:rsidP="00CB6FDF">
      <w:pPr>
        <w:rPr>
          <w:lang w:val="en-GB"/>
        </w:rPr>
      </w:pPr>
      <w:r w:rsidRPr="00A45FE2">
        <w:rPr>
          <w:lang w:val="en-GB"/>
        </w:rPr>
        <w:t xml:space="preserve">To build on the work done in 2023, the TEN </w:t>
      </w:r>
      <w:r w:rsidR="005F01E6">
        <w:rPr>
          <w:lang w:val="en-GB"/>
        </w:rPr>
        <w:t>s</w:t>
      </w:r>
      <w:r w:rsidRPr="00A45FE2">
        <w:rPr>
          <w:lang w:val="en-GB"/>
        </w:rPr>
        <w:t xml:space="preserve">ection will </w:t>
      </w:r>
      <w:r w:rsidR="00102235">
        <w:rPr>
          <w:lang w:val="en-GB"/>
        </w:rPr>
        <w:t>pursue</w:t>
      </w:r>
      <w:r w:rsidRPr="00A45FE2">
        <w:rPr>
          <w:lang w:val="en-GB"/>
        </w:rPr>
        <w:t xml:space="preserve"> activities regarding the redesign of the electricity market, started in 2023.</w:t>
      </w:r>
      <w:r w:rsidR="005937D5" w:rsidRPr="00A45FE2">
        <w:rPr>
          <w:lang w:val="en-GB"/>
        </w:rPr>
        <w:t xml:space="preserve"> </w:t>
      </w:r>
      <w:r w:rsidR="00F96E48" w:rsidRPr="00A45FE2">
        <w:rPr>
          <w:lang w:val="en-GB"/>
        </w:rPr>
        <w:t>Fostering energy affordability</w:t>
      </w:r>
      <w:r w:rsidR="005937D5" w:rsidRPr="00A45FE2">
        <w:rPr>
          <w:lang w:val="en-GB"/>
        </w:rPr>
        <w:t xml:space="preserve">, at a fair price, to consumers, both </w:t>
      </w:r>
      <w:r w:rsidR="005937D5" w:rsidRPr="00A45FE2">
        <w:rPr>
          <w:lang w:val="en-GB"/>
        </w:rPr>
        <w:lastRenderedPageBreak/>
        <w:t xml:space="preserve">companies and households, </w:t>
      </w:r>
      <w:r w:rsidR="00F96E48" w:rsidRPr="00A45FE2">
        <w:rPr>
          <w:lang w:val="en-GB"/>
        </w:rPr>
        <w:t xml:space="preserve">protecting vulnerable households are a constant priority topic in the TEN </w:t>
      </w:r>
      <w:proofErr w:type="gramStart"/>
      <w:r w:rsidR="00F96E48" w:rsidRPr="00A45FE2">
        <w:rPr>
          <w:lang w:val="en-GB"/>
        </w:rPr>
        <w:t>section</w:t>
      </w:r>
      <w:proofErr w:type="gramEnd"/>
      <w:r w:rsidR="00F96E48" w:rsidRPr="00A45FE2">
        <w:rPr>
          <w:lang w:val="en-GB"/>
        </w:rPr>
        <w:t xml:space="preserve"> work programme. </w:t>
      </w:r>
    </w:p>
    <w:p w14:paraId="72F9D87C" w14:textId="77777777" w:rsidR="005937D5" w:rsidRPr="00A45FE2" w:rsidRDefault="005937D5" w:rsidP="00CB6FDF">
      <w:pPr>
        <w:rPr>
          <w:lang w:val="en-GB"/>
        </w:rPr>
      </w:pPr>
    </w:p>
    <w:p w14:paraId="0528666B" w14:textId="7935828D" w:rsidR="005937D5" w:rsidRPr="00CC1714" w:rsidRDefault="006A2ED8" w:rsidP="00CC1714">
      <w:pPr>
        <w:pStyle w:val="Heading2"/>
        <w:rPr>
          <w:b/>
          <w:bCs/>
          <w:i/>
          <w:iCs/>
          <w:lang w:val="en-GB"/>
        </w:rPr>
      </w:pPr>
      <w:r w:rsidRPr="00CC1714">
        <w:rPr>
          <w:b/>
          <w:bCs/>
          <w:i/>
          <w:iCs/>
          <w:lang w:val="en-GB"/>
        </w:rPr>
        <w:t>Energy affordability</w:t>
      </w:r>
    </w:p>
    <w:p w14:paraId="6AC45263" w14:textId="60354104" w:rsidR="00F96E48" w:rsidRPr="00A45FE2" w:rsidRDefault="00F96E48" w:rsidP="00CB6FDF">
      <w:pPr>
        <w:rPr>
          <w:lang w:val="en-GB"/>
        </w:rPr>
      </w:pPr>
      <w:r w:rsidRPr="00A45FE2">
        <w:rPr>
          <w:lang w:val="en-GB"/>
        </w:rPr>
        <w:t xml:space="preserve">Rising inflation due to international crises and supply shortages has put even more households and people at risk of energy poverty. The TEN </w:t>
      </w:r>
      <w:proofErr w:type="gramStart"/>
      <w:r w:rsidRPr="00A45FE2">
        <w:rPr>
          <w:lang w:val="en-GB"/>
        </w:rPr>
        <w:t>section</w:t>
      </w:r>
      <w:proofErr w:type="gramEnd"/>
      <w:r w:rsidRPr="00A45FE2">
        <w:rPr>
          <w:lang w:val="en-GB"/>
        </w:rPr>
        <w:t xml:space="preserve"> will organise a </w:t>
      </w:r>
      <w:r w:rsidRPr="00A45FE2">
        <w:rPr>
          <w:b/>
          <w:bCs/>
          <w:lang w:val="en-GB"/>
        </w:rPr>
        <w:t>fourth edition of its conference on energy affordability</w:t>
      </w:r>
      <w:r w:rsidRPr="00A45FE2">
        <w:rPr>
          <w:lang w:val="en-GB"/>
        </w:rPr>
        <w:t xml:space="preserve"> in June 2024 under the Belgian presidency. The conference will focus on how to promote a </w:t>
      </w:r>
      <w:r w:rsidR="006A2ED8" w:rsidRPr="00A45FE2">
        <w:rPr>
          <w:lang w:val="en-GB"/>
        </w:rPr>
        <w:t xml:space="preserve">just </w:t>
      </w:r>
      <w:r w:rsidRPr="00A45FE2">
        <w:rPr>
          <w:lang w:val="en-GB"/>
        </w:rPr>
        <w:t>and effective green transition that leaves no one behind.</w:t>
      </w:r>
    </w:p>
    <w:p w14:paraId="3DB6E4B6" w14:textId="2C70F7DB" w:rsidR="006A2ED8" w:rsidRPr="00A45FE2" w:rsidRDefault="006A2ED8" w:rsidP="00CB6FDF">
      <w:pPr>
        <w:rPr>
          <w:lang w:val="en-GB"/>
        </w:rPr>
      </w:pPr>
    </w:p>
    <w:p w14:paraId="04E148F4" w14:textId="21D29D34" w:rsidR="006A2ED8" w:rsidRPr="00CC1714" w:rsidRDefault="006A2ED8" w:rsidP="00CC1714">
      <w:pPr>
        <w:pStyle w:val="Heading2"/>
        <w:rPr>
          <w:b/>
          <w:bCs/>
          <w:i/>
          <w:iCs/>
          <w:lang w:val="en-GB"/>
        </w:rPr>
      </w:pPr>
      <w:r w:rsidRPr="00CC1714">
        <w:rPr>
          <w:b/>
          <w:bCs/>
          <w:i/>
          <w:iCs/>
          <w:lang w:val="en-GB"/>
        </w:rPr>
        <w:t>Labour skills for the green transition</w:t>
      </w:r>
    </w:p>
    <w:p w14:paraId="2740665A" w14:textId="3E944BF1" w:rsidR="00F96E48" w:rsidRPr="00A45FE2" w:rsidRDefault="006A2ED8" w:rsidP="00CB6FDF">
      <w:pPr>
        <w:rPr>
          <w:lang w:val="en-GB"/>
        </w:rPr>
      </w:pPr>
      <w:r w:rsidRPr="00C73656">
        <w:rPr>
          <w:lang w:val="en-GB"/>
        </w:rPr>
        <w:t>P</w:t>
      </w:r>
      <w:r w:rsidR="00F96E48" w:rsidRPr="00A45FE2">
        <w:rPr>
          <w:lang w:val="en-GB"/>
        </w:rPr>
        <w:t xml:space="preserve">articular attention will be </w:t>
      </w:r>
      <w:r w:rsidR="001E5B58" w:rsidRPr="00A45FE2">
        <w:rPr>
          <w:lang w:val="en-GB"/>
        </w:rPr>
        <w:t>given</w:t>
      </w:r>
      <w:r w:rsidR="00F96E48" w:rsidRPr="00A45FE2">
        <w:rPr>
          <w:lang w:val="en-GB"/>
        </w:rPr>
        <w:t xml:space="preserve"> to the workforce and educational gaps identified during the #ReskillEU conference held at the end of 2023, which shed a light on the need for skills development to make the EU's green and digital transitions successful</w:t>
      </w:r>
      <w:r w:rsidR="001E5B58" w:rsidRPr="00A45FE2">
        <w:rPr>
          <w:lang w:val="en-GB"/>
        </w:rPr>
        <w:t>.</w:t>
      </w:r>
    </w:p>
    <w:p w14:paraId="5507D927" w14:textId="292284E9" w:rsidR="00625AC5" w:rsidRPr="00A45FE2" w:rsidRDefault="00625AC5" w:rsidP="00CB6FDF">
      <w:pPr>
        <w:rPr>
          <w:lang w:val="en-GB"/>
        </w:rPr>
      </w:pPr>
    </w:p>
    <w:p w14:paraId="2C51AD05" w14:textId="7D05D594" w:rsidR="00625AC5" w:rsidRDefault="00625AC5" w:rsidP="00CC1714">
      <w:pPr>
        <w:pStyle w:val="Heading2"/>
        <w:rPr>
          <w:b/>
          <w:bCs/>
          <w:i/>
          <w:iCs/>
          <w:lang w:val="en-GB"/>
        </w:rPr>
      </w:pPr>
      <w:r w:rsidRPr="00CC1714">
        <w:rPr>
          <w:b/>
          <w:bCs/>
          <w:i/>
          <w:iCs/>
          <w:lang w:val="en-GB"/>
        </w:rPr>
        <w:t>Nuclear energy</w:t>
      </w:r>
      <w:r w:rsidR="00795DFA">
        <w:rPr>
          <w:b/>
          <w:bCs/>
          <w:i/>
          <w:iCs/>
          <w:lang w:val="en-GB"/>
        </w:rPr>
        <w:t xml:space="preserve"> and nuclear-related matters</w:t>
      </w:r>
    </w:p>
    <w:p w14:paraId="7F68FBBA" w14:textId="77777777" w:rsidR="00795DFA" w:rsidRPr="009A6FEA" w:rsidRDefault="00795DFA" w:rsidP="009A6FEA">
      <w:pPr>
        <w:rPr>
          <w:lang w:val="en-GB"/>
        </w:rPr>
      </w:pPr>
    </w:p>
    <w:p w14:paraId="3CC5A206" w14:textId="2C282B5D" w:rsidR="00CB6FDF" w:rsidRPr="00A45FE2" w:rsidRDefault="00625AC5" w:rsidP="00953339">
      <w:pPr>
        <w:rPr>
          <w:lang w:val="en-GB"/>
        </w:rPr>
      </w:pPr>
      <w:r w:rsidRPr="00A45FE2">
        <w:rPr>
          <w:lang w:val="en-GB"/>
        </w:rPr>
        <w:t>T</w:t>
      </w:r>
      <w:r w:rsidRPr="00C73656">
        <w:rPr>
          <w:lang w:val="en-GB"/>
        </w:rPr>
        <w:t xml:space="preserve">he TEN </w:t>
      </w:r>
      <w:proofErr w:type="gramStart"/>
      <w:r w:rsidR="00F27CD8" w:rsidRPr="00A45FE2">
        <w:rPr>
          <w:lang w:val="en-GB"/>
        </w:rPr>
        <w:t>s</w:t>
      </w:r>
      <w:r w:rsidRPr="00A45FE2">
        <w:rPr>
          <w:lang w:val="en-GB"/>
        </w:rPr>
        <w:t>ection</w:t>
      </w:r>
      <w:proofErr w:type="gramEnd"/>
      <w:r w:rsidRPr="00A45FE2">
        <w:rPr>
          <w:lang w:val="en-GB"/>
        </w:rPr>
        <w:t xml:space="preserve"> will scrutini</w:t>
      </w:r>
      <w:r w:rsidR="00F27CD8" w:rsidRPr="00A45FE2">
        <w:rPr>
          <w:lang w:val="en-GB"/>
        </w:rPr>
        <w:t>s</w:t>
      </w:r>
      <w:r w:rsidRPr="00A45FE2">
        <w:rPr>
          <w:lang w:val="en-GB"/>
        </w:rPr>
        <w:t xml:space="preserve">e the application of a specific </w:t>
      </w:r>
      <w:r w:rsidR="00795DFA">
        <w:rPr>
          <w:lang w:val="en-GB"/>
        </w:rPr>
        <w:t xml:space="preserve">nuclear-energy matter </w:t>
      </w:r>
      <w:r w:rsidRPr="00A45FE2">
        <w:rPr>
          <w:lang w:val="en-GB"/>
        </w:rPr>
        <w:t xml:space="preserve">in the medical field. The TEN </w:t>
      </w:r>
      <w:r w:rsidR="00F27CD8" w:rsidRPr="00A45FE2">
        <w:rPr>
          <w:lang w:val="en-GB"/>
        </w:rPr>
        <w:t>s</w:t>
      </w:r>
      <w:r w:rsidRPr="00A45FE2">
        <w:rPr>
          <w:lang w:val="en-GB"/>
        </w:rPr>
        <w:t>ection</w:t>
      </w:r>
      <w:r w:rsidR="00F27CD8" w:rsidRPr="00A45FE2">
        <w:rPr>
          <w:lang w:val="en-GB"/>
        </w:rPr>
        <w:t>'s</w:t>
      </w:r>
      <w:r w:rsidRPr="00A45FE2">
        <w:rPr>
          <w:lang w:val="en-GB"/>
        </w:rPr>
        <w:t xml:space="preserve"> own</w:t>
      </w:r>
      <w:r w:rsidR="00F27CD8" w:rsidRPr="00A45FE2">
        <w:rPr>
          <w:lang w:val="en-GB"/>
        </w:rPr>
        <w:t>-</w:t>
      </w:r>
      <w:r w:rsidRPr="00A45FE2">
        <w:rPr>
          <w:lang w:val="en-GB"/>
        </w:rPr>
        <w:t xml:space="preserve">initiative opinion on </w:t>
      </w:r>
      <w:r w:rsidRPr="00CC1714">
        <w:rPr>
          <w:i/>
          <w:iCs/>
          <w:lang w:val="en-GB"/>
        </w:rPr>
        <w:t>Europe´s Beating Cancer Plan: Driving forces for the security of medical radioisotopes supply</w:t>
      </w:r>
      <w:r w:rsidRPr="00A45FE2">
        <w:rPr>
          <w:lang w:val="en-GB"/>
        </w:rPr>
        <w:t xml:space="preserve"> will delve into this subject, sparking a discussion on </w:t>
      </w:r>
      <w:r w:rsidR="00F27CD8" w:rsidRPr="00A45FE2">
        <w:rPr>
          <w:lang w:val="en-GB"/>
        </w:rPr>
        <w:t xml:space="preserve">the </w:t>
      </w:r>
      <w:r w:rsidRPr="00A45FE2">
        <w:rPr>
          <w:lang w:val="en-GB"/>
        </w:rPr>
        <w:t xml:space="preserve">EU's industrial dominance, energy security, infrastructure, research, education, and employment opportunities. It also aims to explore strategies to reduce Europe's reliance on third countries in the medical domain and to </w:t>
      </w:r>
      <w:r w:rsidR="00F27CD8" w:rsidRPr="00A45FE2">
        <w:rPr>
          <w:lang w:val="en-GB"/>
        </w:rPr>
        <w:t>reflect on the need</w:t>
      </w:r>
      <w:r w:rsidRPr="00A45FE2">
        <w:rPr>
          <w:lang w:val="en-GB"/>
        </w:rPr>
        <w:t xml:space="preserve"> for coordinated action at the EU level.</w:t>
      </w:r>
    </w:p>
    <w:p w14:paraId="40AF8309" w14:textId="2842CD08" w:rsidR="00625AC5" w:rsidRPr="00A45FE2" w:rsidRDefault="00625AC5" w:rsidP="00953339">
      <w:pPr>
        <w:rPr>
          <w:lang w:val="en-GB"/>
        </w:rPr>
      </w:pPr>
    </w:p>
    <w:p w14:paraId="06980401" w14:textId="4F0441E8" w:rsidR="00625AC5" w:rsidRDefault="00625AC5" w:rsidP="00625AC5">
      <w:pPr>
        <w:rPr>
          <w:lang w:val="en-GB"/>
        </w:rPr>
      </w:pPr>
      <w:r w:rsidRPr="00A45FE2">
        <w:rPr>
          <w:lang w:val="en-GB"/>
        </w:rPr>
        <w:t>Exploratory talks are ongoing with DG RTD on the best way to involve civil society in consultation</w:t>
      </w:r>
      <w:r w:rsidR="00F27CD8" w:rsidRPr="00A45FE2">
        <w:rPr>
          <w:lang w:val="en-GB"/>
        </w:rPr>
        <w:t>s</w:t>
      </w:r>
      <w:r w:rsidRPr="00A45FE2">
        <w:rPr>
          <w:lang w:val="en-GB"/>
        </w:rPr>
        <w:t xml:space="preserve"> on the EURAD2 project, dealing with radioactive waste management.</w:t>
      </w:r>
    </w:p>
    <w:p w14:paraId="7161484E" w14:textId="3C1FCF2C" w:rsidR="00795DFA" w:rsidRDefault="00795DFA" w:rsidP="00625AC5">
      <w:pPr>
        <w:rPr>
          <w:lang w:val="en-GB"/>
        </w:rPr>
      </w:pPr>
    </w:p>
    <w:p w14:paraId="2B5BA81F" w14:textId="16E7FCC7" w:rsidR="00795DFA" w:rsidRPr="00A45FE2" w:rsidRDefault="00795DFA" w:rsidP="00625AC5">
      <w:pPr>
        <w:rPr>
          <w:lang w:val="en-GB"/>
        </w:rPr>
      </w:pPr>
      <w:r w:rsidRPr="00795DFA">
        <w:rPr>
          <w:lang w:val="en-GB"/>
        </w:rPr>
        <w:t>On the basis of Art. 7 of the Euratom Treaty, this year the TEN section expects to be requested an opinion by the Council on the next Euratom Programme 2026-2027.</w:t>
      </w:r>
    </w:p>
    <w:p w14:paraId="25C080CD" w14:textId="01DBF5F1" w:rsidR="00625AC5" w:rsidRPr="00A45FE2" w:rsidRDefault="00625AC5" w:rsidP="00953339">
      <w:pPr>
        <w:rPr>
          <w:lang w:val="en-GB"/>
        </w:rPr>
      </w:pPr>
    </w:p>
    <w:p w14:paraId="6E76D5FF" w14:textId="2DD415BC" w:rsidR="00625AC5" w:rsidRPr="00CC1714" w:rsidRDefault="00625AC5" w:rsidP="00CC1714">
      <w:pPr>
        <w:pStyle w:val="Heading2"/>
        <w:rPr>
          <w:b/>
          <w:bCs/>
          <w:i/>
          <w:iCs/>
          <w:lang w:val="en-GB"/>
        </w:rPr>
      </w:pPr>
      <w:r w:rsidRPr="00CC1714">
        <w:rPr>
          <w:b/>
          <w:bCs/>
          <w:i/>
          <w:iCs/>
          <w:lang w:val="en-GB"/>
        </w:rPr>
        <w:t>Hydrogen</w:t>
      </w:r>
    </w:p>
    <w:p w14:paraId="31ACFF14" w14:textId="4BC1FF84" w:rsidR="00955CC6" w:rsidRPr="00A45FE2" w:rsidRDefault="00625AC5">
      <w:pPr>
        <w:rPr>
          <w:rFonts w:ascii="Calibri" w:hAnsi="Calibri" w:cs="Calibri"/>
          <w:lang w:val="en-GB"/>
        </w:rPr>
      </w:pPr>
      <w:r w:rsidRPr="00C73656">
        <w:rPr>
          <w:lang w:val="en-GB"/>
        </w:rPr>
        <w:t>B</w:t>
      </w:r>
      <w:r w:rsidR="00955CC6" w:rsidRPr="00A45FE2">
        <w:rPr>
          <w:lang w:val="en-GB"/>
        </w:rPr>
        <w:t xml:space="preserve">uilding on the activities of </w:t>
      </w:r>
      <w:r w:rsidR="005A1823" w:rsidRPr="00A45FE2">
        <w:rPr>
          <w:lang w:val="en-GB"/>
        </w:rPr>
        <w:t xml:space="preserve">recent </w:t>
      </w:r>
      <w:r w:rsidR="00955CC6" w:rsidRPr="00A45FE2">
        <w:rPr>
          <w:lang w:val="en-GB"/>
        </w:rPr>
        <w:t xml:space="preserve">years, the TEN Section will continue to focus on the importance of the emergent green hydrogen sector. Among the selected </w:t>
      </w:r>
      <w:r w:rsidR="00A75699" w:rsidRPr="00A45FE2">
        <w:rPr>
          <w:lang w:val="en-GB"/>
        </w:rPr>
        <w:t>o</w:t>
      </w:r>
      <w:r w:rsidR="00955CC6" w:rsidRPr="00A45FE2">
        <w:rPr>
          <w:lang w:val="en-GB"/>
        </w:rPr>
        <w:t>wn</w:t>
      </w:r>
      <w:r w:rsidR="005A1823" w:rsidRPr="00A45FE2">
        <w:rPr>
          <w:lang w:val="en-GB"/>
        </w:rPr>
        <w:t>-</w:t>
      </w:r>
      <w:r w:rsidR="00A75699" w:rsidRPr="00A45FE2">
        <w:rPr>
          <w:lang w:val="en-GB"/>
        </w:rPr>
        <w:t>i</w:t>
      </w:r>
      <w:r w:rsidR="00955CC6" w:rsidRPr="00A45FE2">
        <w:rPr>
          <w:lang w:val="en-GB"/>
        </w:rPr>
        <w:t xml:space="preserve">nitiative </w:t>
      </w:r>
      <w:r w:rsidR="00A75699" w:rsidRPr="00A45FE2">
        <w:rPr>
          <w:lang w:val="en-GB"/>
        </w:rPr>
        <w:t>o</w:t>
      </w:r>
      <w:r w:rsidR="00955CC6" w:rsidRPr="00A45FE2">
        <w:rPr>
          <w:lang w:val="en-GB"/>
        </w:rPr>
        <w:t xml:space="preserve">pinions for 2024, </w:t>
      </w:r>
      <w:r w:rsidR="00483745" w:rsidRPr="00A45FE2">
        <w:rPr>
          <w:lang w:val="en-GB"/>
        </w:rPr>
        <w:t>it was</w:t>
      </w:r>
      <w:r w:rsidR="00955CC6" w:rsidRPr="00A45FE2">
        <w:rPr>
          <w:lang w:val="en-GB"/>
        </w:rPr>
        <w:t xml:space="preserve"> decided to develop a comprehensive dossier on hydrogen: infrastructure, development needs, financing, use and limits. In light of the crucial role EU policy</w:t>
      </w:r>
      <w:r w:rsidR="005A1823" w:rsidRPr="00A45FE2">
        <w:rPr>
          <w:lang w:val="en-GB"/>
        </w:rPr>
        <w:t>-</w:t>
      </w:r>
      <w:r w:rsidR="00955CC6" w:rsidRPr="00A45FE2">
        <w:rPr>
          <w:lang w:val="en-GB"/>
        </w:rPr>
        <w:t xml:space="preserve">makers are giving to this technology, including the creation of a European Hydrogen Bank, the TEN Section will also organise, for the end of 2024, a conference in Latvia, in collaboration with the national </w:t>
      </w:r>
      <w:r w:rsidR="00483745" w:rsidRPr="00A45FE2">
        <w:rPr>
          <w:lang w:val="en-GB"/>
        </w:rPr>
        <w:t>M</w:t>
      </w:r>
      <w:r w:rsidR="00955CC6" w:rsidRPr="00A45FE2">
        <w:rPr>
          <w:lang w:val="en-GB"/>
        </w:rPr>
        <w:t xml:space="preserve">inistry of </w:t>
      </w:r>
      <w:r w:rsidR="00483745" w:rsidRPr="00A45FE2">
        <w:rPr>
          <w:lang w:val="en-GB"/>
        </w:rPr>
        <w:t>E</w:t>
      </w:r>
      <w:r w:rsidR="00955CC6" w:rsidRPr="00A45FE2">
        <w:rPr>
          <w:lang w:val="en-GB"/>
        </w:rPr>
        <w:t>nergy, in order to exchange with experts and explore the potential of this sector in the EU.</w:t>
      </w:r>
      <w:r w:rsidR="00955CC6" w:rsidRPr="00A45FE2">
        <w:rPr>
          <w:rFonts w:ascii="Calibri" w:hAnsi="Calibri" w:cs="Calibri"/>
          <w:lang w:val="en-GB"/>
        </w:rPr>
        <w:t xml:space="preserve"> </w:t>
      </w:r>
    </w:p>
    <w:p w14:paraId="70ED5746" w14:textId="6C323563" w:rsidR="00B13A28" w:rsidRPr="00A45FE2" w:rsidRDefault="00B13A28" w:rsidP="00223C7F">
      <w:pPr>
        <w:rPr>
          <w:lang w:val="en-GB"/>
        </w:rPr>
      </w:pPr>
    </w:p>
    <w:p w14:paraId="34F1193B" w14:textId="77777777" w:rsidR="00625AC5" w:rsidRPr="00CC1714" w:rsidRDefault="00625AC5">
      <w:pPr>
        <w:rPr>
          <w:b/>
          <w:bCs/>
          <w:lang w:val="en-GB"/>
        </w:rPr>
      </w:pPr>
      <w:r w:rsidRPr="00CC1714">
        <w:rPr>
          <w:b/>
          <w:bCs/>
          <w:lang w:val="en-GB"/>
        </w:rPr>
        <w:t>PERMANENT GROUP ON ENERGY</w:t>
      </w:r>
    </w:p>
    <w:p w14:paraId="2061B2CB" w14:textId="77777777" w:rsidR="00625AC5" w:rsidRPr="00A45FE2" w:rsidRDefault="00625AC5" w:rsidP="00625AC5">
      <w:pPr>
        <w:rPr>
          <w:lang w:val="en-GB"/>
        </w:rPr>
      </w:pPr>
    </w:p>
    <w:p w14:paraId="5F14DEBA" w14:textId="0611CB75" w:rsidR="00625AC5" w:rsidRPr="00A45FE2" w:rsidRDefault="00625AC5" w:rsidP="00625AC5">
      <w:pPr>
        <w:rPr>
          <w:lang w:val="en-GB"/>
        </w:rPr>
      </w:pPr>
      <w:r w:rsidRPr="00A45FE2">
        <w:rPr>
          <w:lang w:val="en-GB"/>
        </w:rPr>
        <w:t xml:space="preserve">As the energy landscape evolves, the TEN Energy Group </w:t>
      </w:r>
      <w:r w:rsidR="00F27CD8" w:rsidRPr="00A45FE2">
        <w:rPr>
          <w:lang w:val="en-GB"/>
        </w:rPr>
        <w:t>is gearing</w:t>
      </w:r>
      <w:r w:rsidRPr="00A45FE2">
        <w:rPr>
          <w:lang w:val="en-GB"/>
        </w:rPr>
        <w:t xml:space="preserve"> up for a transformative year in 2024. </w:t>
      </w:r>
      <w:r w:rsidR="00F27CD8" w:rsidRPr="00A45FE2">
        <w:rPr>
          <w:lang w:val="en-GB"/>
        </w:rPr>
        <w:t>First on</w:t>
      </w:r>
      <w:r w:rsidRPr="00A45FE2">
        <w:rPr>
          <w:lang w:val="en-GB"/>
        </w:rPr>
        <w:t xml:space="preserve"> the agenda is a final evaluation of the long-negotiated reform of the electricity market, </w:t>
      </w:r>
      <w:r w:rsidR="00F27CD8" w:rsidRPr="00A45FE2">
        <w:rPr>
          <w:lang w:val="en-GB"/>
        </w:rPr>
        <w:t>which will conclude</w:t>
      </w:r>
      <w:r w:rsidRPr="00A45FE2">
        <w:rPr>
          <w:lang w:val="en-GB"/>
        </w:rPr>
        <w:t xml:space="preserve"> the EESC</w:t>
      </w:r>
      <w:r w:rsidR="00F27CD8" w:rsidRPr="00A45FE2">
        <w:rPr>
          <w:lang w:val="en-GB"/>
        </w:rPr>
        <w:t>'s work</w:t>
      </w:r>
      <w:r w:rsidRPr="00A45FE2">
        <w:rPr>
          <w:lang w:val="en-GB"/>
        </w:rPr>
        <w:t xml:space="preserve"> on the topic.</w:t>
      </w:r>
    </w:p>
    <w:p w14:paraId="3EB15C43" w14:textId="77777777" w:rsidR="00625AC5" w:rsidRPr="00A45FE2" w:rsidRDefault="00625AC5" w:rsidP="00625AC5">
      <w:pPr>
        <w:rPr>
          <w:lang w:val="en-GB"/>
        </w:rPr>
      </w:pPr>
    </w:p>
    <w:p w14:paraId="352D5640" w14:textId="4F59AEC0" w:rsidR="00625AC5" w:rsidRPr="00A45FE2" w:rsidRDefault="00F27CD8" w:rsidP="00625AC5">
      <w:pPr>
        <w:rPr>
          <w:lang w:val="en-GB"/>
        </w:rPr>
      </w:pPr>
      <w:r w:rsidRPr="00A45FE2">
        <w:rPr>
          <w:lang w:val="en-GB"/>
        </w:rPr>
        <w:t>At the same time</w:t>
      </w:r>
      <w:r w:rsidR="00625AC5" w:rsidRPr="00A45FE2">
        <w:rPr>
          <w:lang w:val="en-GB"/>
        </w:rPr>
        <w:t xml:space="preserve">, the Energy Group faces the critical task of evaluating the repercussions of withdrawing subsidies that were initially introduced during the peaks in electricity and gas prices. The decision to </w:t>
      </w:r>
      <w:r w:rsidR="00625AC5" w:rsidRPr="00A45FE2">
        <w:rPr>
          <w:lang w:val="en-GB"/>
        </w:rPr>
        <w:lastRenderedPageBreak/>
        <w:t xml:space="preserve">remove these financial cushions </w:t>
      </w:r>
      <w:r w:rsidRPr="00A45FE2">
        <w:rPr>
          <w:lang w:val="en-GB"/>
        </w:rPr>
        <w:t>requires</w:t>
      </w:r>
      <w:r w:rsidR="00625AC5" w:rsidRPr="00A45FE2">
        <w:rPr>
          <w:lang w:val="en-GB"/>
        </w:rPr>
        <w:t xml:space="preserve"> a thorough examination of its impact on both domestic and industrial consumers. Furthermore, the lingering effects of </w:t>
      </w:r>
      <w:r w:rsidRPr="00A45FE2">
        <w:rPr>
          <w:lang w:val="en-GB"/>
        </w:rPr>
        <w:t xml:space="preserve">the </w:t>
      </w:r>
      <w:r w:rsidR="00625AC5" w:rsidRPr="00A45FE2">
        <w:rPr>
          <w:lang w:val="en-GB"/>
        </w:rPr>
        <w:t>winter of 2024 on price developments and security of supply add another layer of complexity.</w:t>
      </w:r>
    </w:p>
    <w:p w14:paraId="27529BE9" w14:textId="77777777" w:rsidR="00625AC5" w:rsidRPr="00A45FE2" w:rsidRDefault="00625AC5" w:rsidP="00625AC5">
      <w:pPr>
        <w:rPr>
          <w:lang w:val="en-GB"/>
        </w:rPr>
      </w:pPr>
    </w:p>
    <w:p w14:paraId="2733F823" w14:textId="5CCA87CA" w:rsidR="00625AC5" w:rsidRPr="00A45FE2" w:rsidRDefault="00625AC5" w:rsidP="00625AC5">
      <w:pPr>
        <w:rPr>
          <w:lang w:val="en-GB"/>
        </w:rPr>
      </w:pPr>
      <w:r w:rsidRPr="00A45FE2">
        <w:rPr>
          <w:lang w:val="en-GB"/>
        </w:rPr>
        <w:t xml:space="preserve">To address these challenges, the Energy Permanent Group proposes a comprehensive analysis during the 2nd Group meeting. Stakeholders from diverse sectors, including representatives of domestic and industrial consumers, </w:t>
      </w:r>
      <w:r w:rsidR="00F27CD8" w:rsidRPr="00A45FE2">
        <w:rPr>
          <w:lang w:val="en-GB"/>
        </w:rPr>
        <w:t xml:space="preserve">the </w:t>
      </w:r>
      <w:r w:rsidRPr="00A45FE2">
        <w:rPr>
          <w:lang w:val="en-GB"/>
        </w:rPr>
        <w:t>European Commission, and other interested parties, may be invited to contribute valuable insights.</w:t>
      </w:r>
    </w:p>
    <w:p w14:paraId="0FC31CED" w14:textId="77777777" w:rsidR="00625AC5" w:rsidRPr="00A45FE2" w:rsidRDefault="00625AC5" w:rsidP="00625AC5">
      <w:pPr>
        <w:rPr>
          <w:lang w:val="en-GB"/>
        </w:rPr>
      </w:pPr>
    </w:p>
    <w:p w14:paraId="4B396B24" w14:textId="7478ED01" w:rsidR="00625AC5" w:rsidRPr="00A45FE2" w:rsidRDefault="00625AC5" w:rsidP="00625AC5">
      <w:pPr>
        <w:rPr>
          <w:lang w:val="en-GB"/>
        </w:rPr>
      </w:pPr>
      <w:r w:rsidRPr="00A45FE2">
        <w:rPr>
          <w:lang w:val="en-GB"/>
        </w:rPr>
        <w:t xml:space="preserve">The first half of 2024 is also earmarked for a dedicated session on technological advances. The </w:t>
      </w:r>
      <w:r w:rsidR="00440715" w:rsidRPr="00A45FE2">
        <w:rPr>
          <w:lang w:val="en-GB"/>
        </w:rPr>
        <w:t>G</w:t>
      </w:r>
      <w:r w:rsidRPr="00A45FE2">
        <w:rPr>
          <w:lang w:val="en-GB"/>
        </w:rPr>
        <w:t xml:space="preserve">roup aims to stay abreast of </w:t>
      </w:r>
      <w:r w:rsidR="00F27CD8" w:rsidRPr="00A45FE2">
        <w:rPr>
          <w:lang w:val="en-GB"/>
        </w:rPr>
        <w:t>progress</w:t>
      </w:r>
      <w:r w:rsidRPr="00A45FE2">
        <w:rPr>
          <w:lang w:val="en-GB"/>
        </w:rPr>
        <w:t xml:space="preserve"> in the nuclear energy field, with particular emphasis on the ITER </w:t>
      </w:r>
      <w:r w:rsidR="00F27CD8" w:rsidRPr="00A45FE2">
        <w:rPr>
          <w:lang w:val="en-GB"/>
        </w:rPr>
        <w:t>p</w:t>
      </w:r>
      <w:r w:rsidRPr="00A45FE2">
        <w:rPr>
          <w:lang w:val="en-GB"/>
        </w:rPr>
        <w:t xml:space="preserve">roject for nuclear fusion, ongoing initiatives in the United States and Japan, and the launch of the European industrial alliance on </w:t>
      </w:r>
      <w:r w:rsidR="00F27CD8" w:rsidRPr="00A45FE2">
        <w:rPr>
          <w:lang w:val="en-GB"/>
        </w:rPr>
        <w:t>s</w:t>
      </w:r>
      <w:r w:rsidRPr="00A45FE2">
        <w:rPr>
          <w:lang w:val="en-GB"/>
        </w:rPr>
        <w:t xml:space="preserve">mall </w:t>
      </w:r>
      <w:r w:rsidR="00F27CD8" w:rsidRPr="00A45FE2">
        <w:rPr>
          <w:lang w:val="en-GB"/>
        </w:rPr>
        <w:t>m</w:t>
      </w:r>
      <w:r w:rsidRPr="00A45FE2">
        <w:rPr>
          <w:lang w:val="en-GB"/>
        </w:rPr>
        <w:t xml:space="preserve">odular </w:t>
      </w:r>
      <w:r w:rsidR="00F27CD8" w:rsidRPr="00A45FE2">
        <w:rPr>
          <w:lang w:val="en-GB"/>
        </w:rPr>
        <w:t>r</w:t>
      </w:r>
      <w:r w:rsidRPr="00A45FE2">
        <w:rPr>
          <w:lang w:val="en-GB"/>
        </w:rPr>
        <w:t>eactors.</w:t>
      </w:r>
    </w:p>
    <w:p w14:paraId="74D02302" w14:textId="77777777" w:rsidR="00625AC5" w:rsidRPr="00A45FE2" w:rsidRDefault="00625AC5" w:rsidP="00625AC5">
      <w:pPr>
        <w:rPr>
          <w:lang w:val="en-GB"/>
        </w:rPr>
      </w:pPr>
    </w:p>
    <w:p w14:paraId="6FDC093F" w14:textId="6E5BDC26" w:rsidR="00625AC5" w:rsidRPr="00A45FE2" w:rsidRDefault="00625AC5" w:rsidP="00625AC5">
      <w:pPr>
        <w:rPr>
          <w:lang w:val="en-GB"/>
        </w:rPr>
      </w:pPr>
      <w:r w:rsidRPr="00A45FE2">
        <w:rPr>
          <w:lang w:val="en-GB"/>
        </w:rPr>
        <w:t xml:space="preserve">In the framework </w:t>
      </w:r>
      <w:r w:rsidR="00F27CD8" w:rsidRPr="00A45FE2">
        <w:rPr>
          <w:lang w:val="en-GB"/>
        </w:rPr>
        <w:t xml:space="preserve">of </w:t>
      </w:r>
      <w:r w:rsidRPr="00A45FE2">
        <w:rPr>
          <w:lang w:val="en-GB"/>
        </w:rPr>
        <w:t xml:space="preserve">the European sustainable sector the Permanent Group will analyse the </w:t>
      </w:r>
      <w:r w:rsidR="00440715" w:rsidRPr="00A45FE2">
        <w:rPr>
          <w:lang w:val="en-GB"/>
        </w:rPr>
        <w:t>issue</w:t>
      </w:r>
      <w:r w:rsidRPr="00A45FE2">
        <w:rPr>
          <w:lang w:val="en-GB"/>
        </w:rPr>
        <w:t xml:space="preserve"> of the reshoring of the photovoltaic cells production with its economic, environmental and strategic consequences. </w:t>
      </w:r>
      <w:r w:rsidR="00440715" w:rsidRPr="00A45FE2">
        <w:rPr>
          <w:lang w:val="en-GB"/>
        </w:rPr>
        <w:t>The</w:t>
      </w:r>
      <w:r w:rsidRPr="00A45FE2">
        <w:rPr>
          <w:lang w:val="en-GB"/>
        </w:rPr>
        <w:t xml:space="preserve"> Group will </w:t>
      </w:r>
      <w:r w:rsidR="00440715" w:rsidRPr="00A45FE2">
        <w:rPr>
          <w:lang w:val="en-GB"/>
        </w:rPr>
        <w:t xml:space="preserve">also </w:t>
      </w:r>
      <w:r w:rsidRPr="00A45FE2">
        <w:rPr>
          <w:lang w:val="en-GB"/>
        </w:rPr>
        <w:t>consider the viability of Carbon Capture technologies as a widespread solution to reduce CO2 emissions.</w:t>
      </w:r>
    </w:p>
    <w:p w14:paraId="675BAA19" w14:textId="77777777" w:rsidR="00625AC5" w:rsidRPr="00A45FE2" w:rsidRDefault="00625AC5" w:rsidP="00625AC5">
      <w:pPr>
        <w:rPr>
          <w:lang w:val="en-GB"/>
        </w:rPr>
      </w:pPr>
    </w:p>
    <w:p w14:paraId="429976CB" w14:textId="50A4BD82" w:rsidR="00625AC5" w:rsidRPr="00A45FE2" w:rsidRDefault="00625AC5" w:rsidP="00625AC5">
      <w:pPr>
        <w:rPr>
          <w:lang w:val="en-GB"/>
        </w:rPr>
      </w:pPr>
      <w:r w:rsidRPr="00A45FE2">
        <w:rPr>
          <w:lang w:val="en-GB"/>
        </w:rPr>
        <w:t xml:space="preserve">Finally, from a social standpoint, the </w:t>
      </w:r>
      <w:r w:rsidR="00440715" w:rsidRPr="00A45FE2">
        <w:rPr>
          <w:lang w:val="en-GB"/>
        </w:rPr>
        <w:t>Group</w:t>
      </w:r>
      <w:r w:rsidRPr="00A45FE2">
        <w:rPr>
          <w:lang w:val="en-GB"/>
        </w:rPr>
        <w:t xml:space="preserve"> will focus on the fundamental importance of the public acceptance of the deployment of renewable energy sources and possible strategies to address citizens' concerns.</w:t>
      </w:r>
    </w:p>
    <w:p w14:paraId="146F314D" w14:textId="77777777" w:rsidR="00625AC5" w:rsidRPr="00A45FE2" w:rsidRDefault="00625AC5" w:rsidP="00625AC5">
      <w:pPr>
        <w:rPr>
          <w:lang w:val="en-GB"/>
        </w:rPr>
      </w:pPr>
    </w:p>
    <w:p w14:paraId="5D371405" w14:textId="36C93E4A" w:rsidR="00625AC5" w:rsidRPr="00A45FE2" w:rsidRDefault="00625AC5" w:rsidP="00625AC5">
      <w:pPr>
        <w:rPr>
          <w:lang w:val="en-GB"/>
        </w:rPr>
      </w:pPr>
      <w:r w:rsidRPr="00A45FE2">
        <w:rPr>
          <w:lang w:val="en-GB"/>
        </w:rPr>
        <w:t>Other topics to be kept in consideration include the Commission's evaluation of National Energy and Climate Plans, exploring their relation</w:t>
      </w:r>
      <w:r w:rsidR="00440715" w:rsidRPr="00A45FE2">
        <w:rPr>
          <w:lang w:val="en-GB"/>
        </w:rPr>
        <w:t>ship</w:t>
      </w:r>
      <w:r w:rsidRPr="00A45FE2">
        <w:rPr>
          <w:lang w:val="en-GB"/>
        </w:rPr>
        <w:t xml:space="preserve"> with the National Recovery Plans, and the outcomes of COP28 with regard to energy-related commitments. The discussion will also be linked to the 90</w:t>
      </w:r>
      <w:r w:rsidR="00440715" w:rsidRPr="00A45FE2">
        <w:rPr>
          <w:lang w:val="en-GB"/>
        </w:rPr>
        <w:t xml:space="preserve"> </w:t>
      </w:r>
      <w:r w:rsidRPr="00A45FE2">
        <w:rPr>
          <w:lang w:val="en-GB"/>
        </w:rPr>
        <w:t>% reduction target in greenhouse gas emissions for 2040.</w:t>
      </w:r>
    </w:p>
    <w:p w14:paraId="4A269B9A" w14:textId="77777777" w:rsidR="0077574E" w:rsidRPr="00A45FE2" w:rsidRDefault="0077574E" w:rsidP="00223C7F">
      <w:pPr>
        <w:rPr>
          <w:lang w:val="en-GB"/>
        </w:rPr>
      </w:pPr>
    </w:p>
    <w:p w14:paraId="042ABE03" w14:textId="0F12F120" w:rsidR="00BD7990" w:rsidRPr="00CC1714" w:rsidRDefault="00AC3374" w:rsidP="00CC1714">
      <w:pPr>
        <w:pStyle w:val="Heading1"/>
        <w:rPr>
          <w:b/>
          <w:bCs/>
          <w:lang w:val="en-GB"/>
        </w:rPr>
      </w:pPr>
      <w:r w:rsidRPr="00CC1714">
        <w:rPr>
          <w:b/>
          <w:bCs/>
          <w:lang w:val="en-GB"/>
        </w:rPr>
        <w:t>TRANSPORT</w:t>
      </w:r>
    </w:p>
    <w:p w14:paraId="53C540A3" w14:textId="77777777" w:rsidR="006F3E9E" w:rsidRPr="00A45FE2" w:rsidRDefault="006F3E9E" w:rsidP="00D31350">
      <w:pPr>
        <w:keepNext/>
        <w:rPr>
          <w:lang w:val="en-GB"/>
        </w:rPr>
      </w:pPr>
    </w:p>
    <w:p w14:paraId="698F4FA8" w14:textId="77777777" w:rsidR="00627DCF" w:rsidRPr="00A45FE2" w:rsidRDefault="00D34940" w:rsidP="00953339">
      <w:pPr>
        <w:rPr>
          <w:lang w:val="en-GB"/>
        </w:rPr>
      </w:pPr>
      <w:r w:rsidRPr="00A45FE2">
        <w:rPr>
          <w:lang w:val="en-GB"/>
        </w:rPr>
        <w:t>In light of the forthcoming European elections, the Commission's work program</w:t>
      </w:r>
      <w:r w:rsidR="00C06EB7" w:rsidRPr="00A45FE2">
        <w:rPr>
          <w:lang w:val="en-GB"/>
        </w:rPr>
        <w:t>me</w:t>
      </w:r>
      <w:r w:rsidRPr="00A45FE2">
        <w:rPr>
          <w:lang w:val="en-GB"/>
        </w:rPr>
        <w:t xml:space="preserve"> for 2024 has been streamlined, with no new initiatives </w:t>
      </w:r>
      <w:r w:rsidR="005E4C31" w:rsidRPr="00A45FE2">
        <w:rPr>
          <w:lang w:val="en-GB"/>
        </w:rPr>
        <w:t xml:space="preserve">envisaged </w:t>
      </w:r>
      <w:r w:rsidRPr="00A45FE2">
        <w:rPr>
          <w:lang w:val="en-GB"/>
        </w:rPr>
        <w:t xml:space="preserve">for the transport sector. Nonetheless, there are several pending initiatives originally intended for previous years, but not yet released by the Commission. </w:t>
      </w:r>
    </w:p>
    <w:p w14:paraId="420FD441" w14:textId="744E9A07" w:rsidR="00627DCF" w:rsidRPr="00A45FE2" w:rsidRDefault="00627DCF" w:rsidP="00953339">
      <w:pPr>
        <w:rPr>
          <w:lang w:val="en-GB"/>
        </w:rPr>
      </w:pPr>
    </w:p>
    <w:p w14:paraId="0677E546" w14:textId="2501D2C2" w:rsidR="00627DCF" w:rsidRPr="00CC1714" w:rsidRDefault="00627DCF" w:rsidP="00CC1714">
      <w:pPr>
        <w:pStyle w:val="Heading2"/>
        <w:rPr>
          <w:b/>
          <w:bCs/>
          <w:i/>
          <w:iCs/>
          <w:lang w:val="en-GB"/>
        </w:rPr>
      </w:pPr>
      <w:r w:rsidRPr="00CC1714">
        <w:rPr>
          <w:b/>
          <w:bCs/>
          <w:i/>
          <w:iCs/>
          <w:lang w:val="en-GB"/>
        </w:rPr>
        <w:t>Transport and the Green Deal</w:t>
      </w:r>
    </w:p>
    <w:p w14:paraId="4116B52F" w14:textId="77777777" w:rsidR="00627DCF" w:rsidRPr="00A45FE2" w:rsidRDefault="00D34940" w:rsidP="00953339">
      <w:pPr>
        <w:rPr>
          <w:lang w:val="en-GB"/>
        </w:rPr>
      </w:pPr>
      <w:r w:rsidRPr="00A45FE2">
        <w:rPr>
          <w:lang w:val="en-GB"/>
        </w:rPr>
        <w:t>In the context of the European Green Deal, these initiatives include</w:t>
      </w:r>
      <w:r w:rsidR="006F3E9E" w:rsidRPr="00C73656">
        <w:rPr>
          <w:lang w:val="en-GB"/>
        </w:rPr>
        <w:t xml:space="preserve"> </w:t>
      </w:r>
      <w:r w:rsidRPr="00A45FE2">
        <w:rPr>
          <w:lang w:val="en-GB"/>
        </w:rPr>
        <w:t xml:space="preserve">the </w:t>
      </w:r>
      <w:r w:rsidRPr="00A45FE2">
        <w:rPr>
          <w:b/>
          <w:bCs/>
          <w:lang w:val="en-GB"/>
        </w:rPr>
        <w:t>revision of the combined Transport Directive</w:t>
      </w:r>
      <w:r w:rsidR="007A03D9" w:rsidRPr="00A45FE2">
        <w:rPr>
          <w:b/>
          <w:bCs/>
          <w:lang w:val="en-GB"/>
        </w:rPr>
        <w:t xml:space="preserve">, </w:t>
      </w:r>
      <w:r w:rsidR="007A03D9" w:rsidRPr="00A45FE2">
        <w:rPr>
          <w:lang w:val="en-GB"/>
        </w:rPr>
        <w:t>published in November 2023</w:t>
      </w:r>
      <w:r w:rsidR="006F3E9E" w:rsidRPr="00A45FE2">
        <w:rPr>
          <w:lang w:val="en-GB"/>
        </w:rPr>
        <w:t xml:space="preserve">. </w:t>
      </w:r>
      <w:r w:rsidR="00483745" w:rsidRPr="00A45FE2">
        <w:rPr>
          <w:lang w:val="en-GB"/>
        </w:rPr>
        <w:t>The TEN section also</w:t>
      </w:r>
      <w:r w:rsidR="006F3E9E" w:rsidRPr="00A45FE2">
        <w:rPr>
          <w:lang w:val="en-GB"/>
        </w:rPr>
        <w:t xml:space="preserve"> expect</w:t>
      </w:r>
      <w:r w:rsidR="00483745" w:rsidRPr="00A45FE2">
        <w:rPr>
          <w:lang w:val="en-GB"/>
        </w:rPr>
        <w:t>s</w:t>
      </w:r>
      <w:r w:rsidR="006F3E9E" w:rsidRPr="00A45FE2">
        <w:rPr>
          <w:lang w:val="en-GB"/>
        </w:rPr>
        <w:t xml:space="preserve"> to work on the </w:t>
      </w:r>
      <w:r w:rsidR="006F3E9E" w:rsidRPr="00A45FE2">
        <w:rPr>
          <w:b/>
          <w:bCs/>
          <w:lang w:val="en-GB"/>
        </w:rPr>
        <w:t>Revision of the roadworthiness package</w:t>
      </w:r>
      <w:r w:rsidR="006F3E9E" w:rsidRPr="00A45FE2">
        <w:rPr>
          <w:lang w:val="en-GB"/>
        </w:rPr>
        <w:t xml:space="preserve"> </w:t>
      </w:r>
      <w:r w:rsidRPr="00A45FE2">
        <w:rPr>
          <w:lang w:val="en-GB"/>
        </w:rPr>
        <w:t xml:space="preserve">and an initiative about the </w:t>
      </w:r>
      <w:r w:rsidRPr="00A45FE2">
        <w:rPr>
          <w:b/>
          <w:bCs/>
          <w:lang w:val="en-GB"/>
        </w:rPr>
        <w:t>greening of corporate fleets</w:t>
      </w:r>
      <w:r w:rsidRPr="00A45FE2">
        <w:rPr>
          <w:lang w:val="en-GB"/>
        </w:rPr>
        <w:t>.</w:t>
      </w:r>
    </w:p>
    <w:p w14:paraId="4E077B91" w14:textId="77777777" w:rsidR="00627DCF" w:rsidRPr="00A45FE2" w:rsidRDefault="00627DCF" w:rsidP="00953339">
      <w:pPr>
        <w:rPr>
          <w:lang w:val="en-GB"/>
        </w:rPr>
      </w:pPr>
    </w:p>
    <w:p w14:paraId="2A732CCE" w14:textId="5E858AFF" w:rsidR="00627DCF" w:rsidRPr="00A45FE2" w:rsidRDefault="00A27E6C" w:rsidP="00953339">
      <w:pPr>
        <w:rPr>
          <w:lang w:val="en-GB"/>
        </w:rPr>
      </w:pPr>
      <w:r w:rsidRPr="00A45FE2">
        <w:rPr>
          <w:lang w:val="en-GB"/>
        </w:rPr>
        <w:t>In</w:t>
      </w:r>
      <w:r w:rsidR="00627DCF" w:rsidRPr="00A45FE2">
        <w:rPr>
          <w:lang w:val="en-GB"/>
        </w:rPr>
        <w:t xml:space="preserve"> continuation of the work done </w:t>
      </w:r>
      <w:r w:rsidRPr="00A45FE2">
        <w:rPr>
          <w:lang w:val="en-GB"/>
        </w:rPr>
        <w:t>i</w:t>
      </w:r>
      <w:r w:rsidR="00627DCF" w:rsidRPr="00A45FE2">
        <w:rPr>
          <w:lang w:val="en-GB"/>
        </w:rPr>
        <w:t xml:space="preserve">n 2023, the </w:t>
      </w:r>
      <w:r w:rsidRPr="00A45FE2">
        <w:rPr>
          <w:lang w:val="en-GB"/>
        </w:rPr>
        <w:t xml:space="preserve">TEN/822 </w:t>
      </w:r>
      <w:r w:rsidR="00627DCF" w:rsidRPr="00A45FE2">
        <w:rPr>
          <w:lang w:val="en-GB"/>
        </w:rPr>
        <w:t xml:space="preserve">exploratory opinion on posting of drivers, adopted in December 2023, will be presented to the Council in February and </w:t>
      </w:r>
      <w:r w:rsidRPr="00A45FE2">
        <w:rPr>
          <w:lang w:val="en-GB"/>
        </w:rPr>
        <w:t>be discussed at</w:t>
      </w:r>
      <w:r w:rsidR="00627DCF" w:rsidRPr="00A45FE2">
        <w:rPr>
          <w:lang w:val="en-GB"/>
        </w:rPr>
        <w:t xml:space="preserve"> the April section meeting.</w:t>
      </w:r>
    </w:p>
    <w:p w14:paraId="651A92AC" w14:textId="02451C44" w:rsidR="00627DCF" w:rsidRDefault="00627DCF" w:rsidP="00953339">
      <w:pPr>
        <w:rPr>
          <w:lang w:val="en-GB"/>
        </w:rPr>
      </w:pPr>
    </w:p>
    <w:p w14:paraId="56F3A897" w14:textId="77777777" w:rsidR="0036213E" w:rsidRPr="0036213E" w:rsidRDefault="0036213E" w:rsidP="0036213E">
      <w:pPr>
        <w:pStyle w:val="Heading2"/>
        <w:rPr>
          <w:b/>
          <w:bCs/>
          <w:i/>
          <w:iCs/>
          <w:lang w:val="en-GB"/>
        </w:rPr>
      </w:pPr>
      <w:r w:rsidRPr="0036213E">
        <w:rPr>
          <w:b/>
          <w:bCs/>
          <w:i/>
          <w:iCs/>
          <w:lang w:val="en-GB"/>
        </w:rPr>
        <w:t>Data sharing</w:t>
      </w:r>
    </w:p>
    <w:p w14:paraId="5C979C3E" w14:textId="77777777" w:rsidR="0036213E" w:rsidRPr="00A45FE2" w:rsidRDefault="0036213E" w:rsidP="0036213E">
      <w:pPr>
        <w:rPr>
          <w:lang w:val="en-GB"/>
        </w:rPr>
      </w:pPr>
      <w:r w:rsidRPr="00C73656">
        <w:rPr>
          <w:lang w:val="en-GB"/>
        </w:rPr>
        <w:t xml:space="preserve">In the realm of emerging mobility solutions, yet-to-be-published initiatives encompass </w:t>
      </w:r>
      <w:r w:rsidRPr="00A45FE2">
        <w:rPr>
          <w:b/>
          <w:bCs/>
          <w:lang w:val="en-GB"/>
        </w:rPr>
        <w:t>multimodal digital mobility services; access to vehicle data</w:t>
      </w:r>
      <w:r w:rsidRPr="00A45FE2">
        <w:rPr>
          <w:lang w:val="en-GB"/>
        </w:rPr>
        <w:t xml:space="preserve">, functions and resources, </w:t>
      </w:r>
      <w:r>
        <w:rPr>
          <w:lang w:val="en-GB"/>
        </w:rPr>
        <w:t>and</w:t>
      </w:r>
      <w:r w:rsidRPr="00A45FE2">
        <w:rPr>
          <w:lang w:val="en-GB"/>
        </w:rPr>
        <w:t xml:space="preserve"> interoperable</w:t>
      </w:r>
      <w:r w:rsidRPr="00A45FE2">
        <w:rPr>
          <w:b/>
          <w:bCs/>
          <w:lang w:val="en-GB"/>
        </w:rPr>
        <w:t xml:space="preserve"> data </w:t>
      </w:r>
      <w:r w:rsidRPr="00A45FE2">
        <w:rPr>
          <w:b/>
          <w:bCs/>
          <w:lang w:val="en-GB"/>
        </w:rPr>
        <w:lastRenderedPageBreak/>
        <w:t>sharing in rail transport</w:t>
      </w:r>
      <w:r w:rsidRPr="00A45FE2">
        <w:rPr>
          <w:lang w:val="en-GB"/>
        </w:rPr>
        <w:t xml:space="preserve">. The TEN section expects these initiatives to be published in 2024. The 2024 Commission work programme is mostly focused on further reducing the regulatory burden for businesses and streamlining reporting requirements. Aligned with that, the TEN section </w:t>
      </w:r>
      <w:r>
        <w:rPr>
          <w:lang w:val="en-GB"/>
        </w:rPr>
        <w:t>plans to work</w:t>
      </w:r>
      <w:r w:rsidRPr="00A45FE2">
        <w:rPr>
          <w:lang w:val="en-GB"/>
        </w:rPr>
        <w:t xml:space="preserve"> on the simplification and digitalisation of the transmission of </w:t>
      </w:r>
      <w:r w:rsidRPr="00A45FE2">
        <w:rPr>
          <w:b/>
          <w:bCs/>
          <w:lang w:val="en-GB"/>
        </w:rPr>
        <w:t>specific transportation data in national and international traffic</w:t>
      </w:r>
      <w:r w:rsidRPr="00A45FE2">
        <w:rPr>
          <w:lang w:val="en-GB"/>
        </w:rPr>
        <w:t xml:space="preserve">. A </w:t>
      </w:r>
      <w:r>
        <w:rPr>
          <w:lang w:val="en-GB"/>
        </w:rPr>
        <w:t>particular</w:t>
      </w:r>
      <w:r w:rsidRPr="00A45FE2">
        <w:rPr>
          <w:lang w:val="en-GB"/>
        </w:rPr>
        <w:t xml:space="preserve"> case will be inland navigation data: the TEN </w:t>
      </w:r>
      <w:proofErr w:type="gramStart"/>
      <w:r w:rsidRPr="00A45FE2">
        <w:rPr>
          <w:lang w:val="en-GB"/>
        </w:rPr>
        <w:t>section</w:t>
      </w:r>
      <w:proofErr w:type="gramEnd"/>
      <w:r w:rsidRPr="00A45FE2">
        <w:rPr>
          <w:lang w:val="en-GB"/>
        </w:rPr>
        <w:t xml:space="preserve"> will work on the </w:t>
      </w:r>
      <w:r w:rsidRPr="00A45FE2">
        <w:rPr>
          <w:b/>
          <w:bCs/>
          <w:lang w:val="en-GB"/>
        </w:rPr>
        <w:t>Revision of the Directive on harmonised river information services (RIS) on inland waterways (2005/44/EC)</w:t>
      </w:r>
      <w:r w:rsidRPr="00A45FE2">
        <w:rPr>
          <w:lang w:val="en-GB"/>
        </w:rPr>
        <w:t>.</w:t>
      </w:r>
    </w:p>
    <w:p w14:paraId="5AD921D4" w14:textId="77777777" w:rsidR="0036213E" w:rsidRPr="00A45FE2" w:rsidRDefault="0036213E" w:rsidP="00953339">
      <w:pPr>
        <w:rPr>
          <w:lang w:val="en-GB"/>
        </w:rPr>
      </w:pPr>
    </w:p>
    <w:p w14:paraId="333F9AE3" w14:textId="1F248DB8" w:rsidR="00627DCF" w:rsidRPr="00CC1714" w:rsidRDefault="00A27E6C" w:rsidP="00CC1714">
      <w:pPr>
        <w:pStyle w:val="Heading2"/>
        <w:rPr>
          <w:b/>
          <w:bCs/>
          <w:i/>
          <w:iCs/>
          <w:lang w:val="en-GB"/>
        </w:rPr>
      </w:pPr>
      <w:r w:rsidRPr="00A45FE2">
        <w:rPr>
          <w:b/>
          <w:bCs/>
          <w:i/>
          <w:iCs/>
          <w:lang w:val="en-GB"/>
        </w:rPr>
        <w:t>S</w:t>
      </w:r>
      <w:r w:rsidRPr="00C73656">
        <w:rPr>
          <w:b/>
          <w:bCs/>
          <w:i/>
          <w:iCs/>
          <w:lang w:val="en-GB"/>
        </w:rPr>
        <w:t>impl</w:t>
      </w:r>
      <w:r w:rsidRPr="00A45FE2">
        <w:rPr>
          <w:b/>
          <w:bCs/>
          <w:i/>
          <w:iCs/>
          <w:lang w:val="en-GB"/>
        </w:rPr>
        <w:t>ifying legislation</w:t>
      </w:r>
    </w:p>
    <w:p w14:paraId="36D0B6F9" w14:textId="6B0F4850" w:rsidR="00D34940" w:rsidRPr="00A45FE2" w:rsidRDefault="00D34940" w:rsidP="00953339">
      <w:pPr>
        <w:rPr>
          <w:b/>
          <w:bCs/>
          <w:lang w:val="en-GB"/>
        </w:rPr>
      </w:pPr>
      <w:r w:rsidRPr="00A45FE2">
        <w:rPr>
          <w:lang w:val="en-GB"/>
        </w:rPr>
        <w:t>Future actions for burden reduction will also be outlined in the REFIT evaluations and fitness checks accompanying the Commission's work program</w:t>
      </w:r>
      <w:r w:rsidR="005E4C31" w:rsidRPr="00A45FE2">
        <w:rPr>
          <w:lang w:val="en-GB"/>
        </w:rPr>
        <w:t>me</w:t>
      </w:r>
      <w:r w:rsidRPr="00A45FE2">
        <w:rPr>
          <w:lang w:val="en-GB"/>
        </w:rPr>
        <w:t xml:space="preserve">. </w:t>
      </w:r>
      <w:r w:rsidR="00A75699" w:rsidRPr="00A45FE2">
        <w:rPr>
          <w:lang w:val="en-GB"/>
        </w:rPr>
        <w:t>In</w:t>
      </w:r>
      <w:r w:rsidRPr="00A45FE2">
        <w:rPr>
          <w:lang w:val="en-GB"/>
        </w:rPr>
        <w:t xml:space="preserve"> road</w:t>
      </w:r>
      <w:r w:rsidR="00A75699" w:rsidRPr="00A45FE2">
        <w:rPr>
          <w:lang w:val="en-GB"/>
        </w:rPr>
        <w:t xml:space="preserve"> transport</w:t>
      </w:r>
      <w:r w:rsidRPr="00A45FE2">
        <w:rPr>
          <w:lang w:val="en-GB"/>
        </w:rPr>
        <w:t xml:space="preserve">, the TEN section expects to work on the simplification of the </w:t>
      </w:r>
      <w:r w:rsidRPr="00A45FE2">
        <w:rPr>
          <w:b/>
          <w:bCs/>
          <w:lang w:val="en-GB"/>
        </w:rPr>
        <w:t>approval and market surveillance of two- or three-wheel vehicles and quadricycles</w:t>
      </w:r>
      <w:r w:rsidRPr="00A45FE2">
        <w:rPr>
          <w:lang w:val="en-GB"/>
        </w:rPr>
        <w:t>.</w:t>
      </w:r>
      <w:r w:rsidRPr="00A45FE2">
        <w:rPr>
          <w:b/>
          <w:bCs/>
          <w:lang w:val="en-GB"/>
        </w:rPr>
        <w:t xml:space="preserve"> </w:t>
      </w:r>
      <w:r w:rsidRPr="00A45FE2">
        <w:rPr>
          <w:lang w:val="en-GB"/>
        </w:rPr>
        <w:t xml:space="preserve">In trying to support the transition to low-emission mobility, </w:t>
      </w:r>
      <w:r w:rsidR="00483745" w:rsidRPr="00A45FE2">
        <w:rPr>
          <w:lang w:val="en-GB"/>
        </w:rPr>
        <w:t>the TEN section</w:t>
      </w:r>
      <w:r w:rsidRPr="00A45FE2">
        <w:rPr>
          <w:lang w:val="en-GB"/>
        </w:rPr>
        <w:t xml:space="preserve"> </w:t>
      </w:r>
      <w:r w:rsidR="005E4C31" w:rsidRPr="00A45FE2">
        <w:rPr>
          <w:lang w:val="en-GB"/>
        </w:rPr>
        <w:t xml:space="preserve">anticipates </w:t>
      </w:r>
      <w:r w:rsidRPr="00A45FE2">
        <w:rPr>
          <w:lang w:val="en-GB"/>
        </w:rPr>
        <w:t>contribut</w:t>
      </w:r>
      <w:r w:rsidR="005E4C31" w:rsidRPr="00A45FE2">
        <w:rPr>
          <w:lang w:val="en-GB"/>
        </w:rPr>
        <w:t>ing</w:t>
      </w:r>
      <w:r w:rsidRPr="00A45FE2">
        <w:rPr>
          <w:lang w:val="en-GB"/>
        </w:rPr>
        <w:t xml:space="preserve"> to the reduction of reporting under the </w:t>
      </w:r>
      <w:r w:rsidRPr="00A45FE2">
        <w:rPr>
          <w:b/>
          <w:bCs/>
          <w:lang w:val="en-GB"/>
        </w:rPr>
        <w:t>Directive on clean-vehicles</w:t>
      </w:r>
      <w:r w:rsidRPr="00A45FE2">
        <w:rPr>
          <w:lang w:val="en-GB"/>
        </w:rPr>
        <w:t xml:space="preserve"> </w:t>
      </w:r>
      <w:r w:rsidR="00483745" w:rsidRPr="00A45FE2">
        <w:rPr>
          <w:lang w:val="en-GB"/>
        </w:rPr>
        <w:t>and</w:t>
      </w:r>
      <w:r w:rsidRPr="00A45FE2">
        <w:rPr>
          <w:lang w:val="en-GB"/>
        </w:rPr>
        <w:t xml:space="preserve"> </w:t>
      </w:r>
      <w:r w:rsidR="00483745" w:rsidRPr="00A45FE2">
        <w:rPr>
          <w:lang w:val="en-GB"/>
        </w:rPr>
        <w:t>to</w:t>
      </w:r>
      <w:r w:rsidRPr="00A45FE2">
        <w:rPr>
          <w:lang w:val="en-GB"/>
        </w:rPr>
        <w:t xml:space="preserve"> the Commission's plan to remove the optional reporting on the total volume of dangerous goods carried by road amending a </w:t>
      </w:r>
      <w:r w:rsidRPr="00A45FE2">
        <w:rPr>
          <w:b/>
          <w:bCs/>
          <w:lang w:val="en-GB"/>
        </w:rPr>
        <w:t xml:space="preserve">Directive on uniform procedures for checks on the transport of dangerous goods by road. </w:t>
      </w:r>
    </w:p>
    <w:p w14:paraId="000839B0" w14:textId="2EC45ED3" w:rsidR="00D34940" w:rsidRPr="00A45FE2" w:rsidRDefault="00D34940" w:rsidP="00953339">
      <w:pPr>
        <w:rPr>
          <w:lang w:val="en-GB"/>
        </w:rPr>
      </w:pPr>
    </w:p>
    <w:p w14:paraId="3E769DE4" w14:textId="68B80B94" w:rsidR="00BD4177" w:rsidRPr="00CC1714" w:rsidRDefault="00BD4177" w:rsidP="00CC1714">
      <w:pPr>
        <w:pStyle w:val="Heading2"/>
        <w:rPr>
          <w:b/>
          <w:bCs/>
          <w:i/>
          <w:iCs/>
          <w:lang w:val="en-GB"/>
        </w:rPr>
      </w:pPr>
      <w:r w:rsidRPr="00CC1714">
        <w:rPr>
          <w:b/>
          <w:bCs/>
          <w:i/>
          <w:iCs/>
          <w:lang w:val="en-GB"/>
        </w:rPr>
        <w:t>Aviation</w:t>
      </w:r>
    </w:p>
    <w:p w14:paraId="5699D680" w14:textId="352BB2B1" w:rsidR="00D34940" w:rsidRPr="00A45FE2" w:rsidRDefault="00CF0B27" w:rsidP="00953339">
      <w:pPr>
        <w:rPr>
          <w:lang w:val="en-GB"/>
        </w:rPr>
      </w:pPr>
      <w:r w:rsidRPr="00A45FE2">
        <w:rPr>
          <w:lang w:val="en-GB"/>
        </w:rPr>
        <w:t>I</w:t>
      </w:r>
      <w:r w:rsidR="00D34940" w:rsidRPr="00C73656">
        <w:rPr>
          <w:lang w:val="en-GB"/>
        </w:rPr>
        <w:t xml:space="preserve">n the </w:t>
      </w:r>
      <w:r w:rsidRPr="00A45FE2">
        <w:rPr>
          <w:lang w:val="en-GB"/>
        </w:rPr>
        <w:t>field</w:t>
      </w:r>
      <w:r w:rsidR="00D34940" w:rsidRPr="00A45FE2">
        <w:rPr>
          <w:lang w:val="en-GB"/>
        </w:rPr>
        <w:t xml:space="preserve"> of aviation, </w:t>
      </w:r>
      <w:r w:rsidR="00483745" w:rsidRPr="00A45FE2">
        <w:rPr>
          <w:lang w:val="en-GB"/>
        </w:rPr>
        <w:t>the TEN section</w:t>
      </w:r>
      <w:r w:rsidR="00D34940" w:rsidRPr="00A45FE2">
        <w:rPr>
          <w:lang w:val="en-GB"/>
        </w:rPr>
        <w:t xml:space="preserve"> expect</w:t>
      </w:r>
      <w:r w:rsidR="00483745" w:rsidRPr="00A45FE2">
        <w:rPr>
          <w:lang w:val="en-GB"/>
        </w:rPr>
        <w:t>s</w:t>
      </w:r>
      <w:r w:rsidR="00D34940" w:rsidRPr="00A45FE2">
        <w:rPr>
          <w:lang w:val="en-GB"/>
        </w:rPr>
        <w:t xml:space="preserve"> to work on the planned amendment of the </w:t>
      </w:r>
      <w:r w:rsidR="00D34940" w:rsidRPr="00A45FE2">
        <w:rPr>
          <w:b/>
          <w:bCs/>
          <w:lang w:val="en-GB"/>
        </w:rPr>
        <w:t>Regulation on a Code of Conduct for computerised reservation system</w:t>
      </w:r>
      <w:r w:rsidR="005E4C31" w:rsidRPr="00A45FE2">
        <w:rPr>
          <w:b/>
          <w:bCs/>
          <w:lang w:val="en-GB"/>
        </w:rPr>
        <w:t>s</w:t>
      </w:r>
      <w:r w:rsidR="00D34940" w:rsidRPr="00A45FE2">
        <w:rPr>
          <w:b/>
          <w:bCs/>
          <w:lang w:val="en-GB"/>
        </w:rPr>
        <w:t xml:space="preserve"> </w:t>
      </w:r>
      <w:r w:rsidR="00D34940" w:rsidRPr="00A45FE2">
        <w:rPr>
          <w:lang w:val="en-GB"/>
        </w:rPr>
        <w:t xml:space="preserve">aiming to remove the obligation to submit audited reports of system vendors of computerised reservation systems. Under the </w:t>
      </w:r>
      <w:r w:rsidR="00D34940" w:rsidRPr="00A45FE2">
        <w:rPr>
          <w:b/>
          <w:bCs/>
          <w:lang w:val="en-GB"/>
        </w:rPr>
        <w:t>Directive on airport charges</w:t>
      </w:r>
      <w:r w:rsidR="00D34940" w:rsidRPr="00A45FE2">
        <w:rPr>
          <w:lang w:val="en-GB"/>
        </w:rPr>
        <w:t xml:space="preserve">, </w:t>
      </w:r>
      <w:r w:rsidR="00483745" w:rsidRPr="00A45FE2">
        <w:rPr>
          <w:lang w:val="en-GB"/>
        </w:rPr>
        <w:t>the TEN section</w:t>
      </w:r>
      <w:r w:rsidR="00D34940" w:rsidRPr="00A45FE2">
        <w:rPr>
          <w:lang w:val="en-GB"/>
        </w:rPr>
        <w:t xml:space="preserve"> </w:t>
      </w:r>
      <w:r w:rsidR="00483745" w:rsidRPr="00A45FE2">
        <w:rPr>
          <w:lang w:val="en-GB"/>
        </w:rPr>
        <w:t>will</w:t>
      </w:r>
      <w:r w:rsidR="00D34940" w:rsidRPr="00A45FE2">
        <w:rPr>
          <w:lang w:val="en-GB"/>
        </w:rPr>
        <w:t xml:space="preserve"> reflect on the planned removal of the obligation for </w:t>
      </w:r>
      <w:r w:rsidR="005E4C31" w:rsidRPr="00A45FE2">
        <w:rPr>
          <w:lang w:val="en-GB"/>
        </w:rPr>
        <w:t xml:space="preserve">Member States </w:t>
      </w:r>
      <w:r w:rsidR="00D34940" w:rsidRPr="00A45FE2">
        <w:rPr>
          <w:lang w:val="en-GB"/>
        </w:rPr>
        <w:t xml:space="preserve">to publish the list of the airports subject to the rules on airport charges. Finally, </w:t>
      </w:r>
      <w:r w:rsidR="00483745" w:rsidRPr="00A45FE2">
        <w:rPr>
          <w:lang w:val="en-GB"/>
        </w:rPr>
        <w:t>the section</w:t>
      </w:r>
      <w:r w:rsidR="00D34940" w:rsidRPr="00A45FE2">
        <w:rPr>
          <w:lang w:val="en-GB"/>
        </w:rPr>
        <w:t xml:space="preserve"> will work on the reduction of the reporting frequency o</w:t>
      </w:r>
      <w:r w:rsidR="00F877EF" w:rsidRPr="00A45FE2">
        <w:rPr>
          <w:lang w:val="en-GB"/>
        </w:rPr>
        <w:t>f</w:t>
      </w:r>
      <w:r w:rsidR="00D34940" w:rsidRPr="00A45FE2">
        <w:rPr>
          <w:lang w:val="en-GB"/>
        </w:rPr>
        <w:t xml:space="preserve"> airports falling under the </w:t>
      </w:r>
      <w:r w:rsidR="00D34940" w:rsidRPr="00A45FE2">
        <w:rPr>
          <w:b/>
          <w:bCs/>
          <w:lang w:val="en-GB"/>
        </w:rPr>
        <w:t>Directive on access to the ground handling market at Community airports.</w:t>
      </w:r>
      <w:r w:rsidR="00D34940" w:rsidRPr="00A45FE2">
        <w:rPr>
          <w:lang w:val="en-GB"/>
        </w:rPr>
        <w:t xml:space="preserve"> </w:t>
      </w:r>
      <w:r w:rsidRPr="00A45FE2">
        <w:rPr>
          <w:lang w:val="en-GB"/>
        </w:rPr>
        <w:t>Additionally, revisions of</w:t>
      </w:r>
      <w:r w:rsidRPr="00A45FE2">
        <w:rPr>
          <w:b/>
          <w:bCs/>
          <w:lang w:val="en-GB"/>
        </w:rPr>
        <w:t xml:space="preserve"> the Air Services Regulation</w:t>
      </w:r>
      <w:r w:rsidRPr="00A45FE2">
        <w:rPr>
          <w:lang w:val="en-GB"/>
        </w:rPr>
        <w:t xml:space="preserve"> </w:t>
      </w:r>
      <w:r w:rsidR="004E4ACE" w:rsidRPr="00A45FE2">
        <w:rPr>
          <w:lang w:val="en-GB"/>
        </w:rPr>
        <w:t xml:space="preserve">(aiming at resilient and competitive air services while preserving consumer interests and </w:t>
      </w:r>
      <w:r w:rsidR="006F3FC5" w:rsidRPr="00A45FE2">
        <w:rPr>
          <w:lang w:val="en-GB"/>
        </w:rPr>
        <w:t>high-quality</w:t>
      </w:r>
      <w:r w:rsidR="004E4ACE" w:rsidRPr="00A45FE2">
        <w:rPr>
          <w:lang w:val="en-GB"/>
        </w:rPr>
        <w:t xml:space="preserve"> employment) </w:t>
      </w:r>
      <w:r w:rsidRPr="00A45FE2">
        <w:rPr>
          <w:lang w:val="en-GB"/>
        </w:rPr>
        <w:t xml:space="preserve">and </w:t>
      </w:r>
      <w:r w:rsidRPr="00A45FE2">
        <w:rPr>
          <w:b/>
          <w:bCs/>
          <w:lang w:val="en-GB"/>
        </w:rPr>
        <w:t>the Airport Slot Regulation</w:t>
      </w:r>
      <w:r w:rsidRPr="00A45FE2">
        <w:rPr>
          <w:lang w:val="en-GB"/>
        </w:rPr>
        <w:t xml:space="preserve"> (</w:t>
      </w:r>
      <w:r w:rsidR="00FA2DCB" w:rsidRPr="00A45FE2">
        <w:rPr>
          <w:lang w:val="en-GB"/>
        </w:rPr>
        <w:t>c</w:t>
      </w:r>
      <w:r w:rsidRPr="00A45FE2">
        <w:rPr>
          <w:lang w:val="en-GB"/>
        </w:rPr>
        <w:t>ompetitive and efficient use of airport capacity)</w:t>
      </w:r>
      <w:r w:rsidR="00A80BF1" w:rsidRPr="00A45FE2">
        <w:rPr>
          <w:lang w:val="en-GB"/>
        </w:rPr>
        <w:t xml:space="preserve"> </w:t>
      </w:r>
      <w:r w:rsidRPr="00A45FE2">
        <w:rPr>
          <w:lang w:val="en-GB"/>
        </w:rPr>
        <w:t>are still to be published.</w:t>
      </w:r>
    </w:p>
    <w:p w14:paraId="4562B61B" w14:textId="76F10F09" w:rsidR="00A519DC" w:rsidRPr="00A45FE2" w:rsidRDefault="00A519DC" w:rsidP="00953339">
      <w:pPr>
        <w:rPr>
          <w:lang w:val="en-GB"/>
        </w:rPr>
      </w:pPr>
    </w:p>
    <w:p w14:paraId="156C827C" w14:textId="4EEF3A90" w:rsidR="000B1766" w:rsidRPr="00A45FE2" w:rsidRDefault="000B1766" w:rsidP="00953339">
      <w:pPr>
        <w:rPr>
          <w:b/>
          <w:bCs/>
          <w:lang w:val="en-GB"/>
        </w:rPr>
      </w:pPr>
      <w:r w:rsidRPr="00A45FE2">
        <w:rPr>
          <w:lang w:val="en-GB"/>
        </w:rPr>
        <w:t xml:space="preserve">Decarbonisation and digitalisation have opened up a series of topics in the transport sector that the TEN section might have to pursue further, such as the use of renewable energy in transport, charging infrastructure in the growing e-mobility sector, green public transport, </w:t>
      </w:r>
      <w:r w:rsidR="00C35E43" w:rsidRPr="00A45FE2">
        <w:rPr>
          <w:lang w:val="en-GB"/>
        </w:rPr>
        <w:t xml:space="preserve">and </w:t>
      </w:r>
      <w:r w:rsidRPr="00A45FE2">
        <w:rPr>
          <w:lang w:val="en-GB"/>
        </w:rPr>
        <w:t xml:space="preserve">necessary re-skilling to address skills gaps </w:t>
      </w:r>
      <w:r w:rsidRPr="00CC1714">
        <w:rPr>
          <w:lang w:val="en-GB"/>
        </w:rPr>
        <w:t>in order to facilitate the green transition in the transport sector</w:t>
      </w:r>
      <w:r w:rsidRPr="00A45FE2">
        <w:rPr>
          <w:lang w:val="en-GB"/>
        </w:rPr>
        <w:t>.</w:t>
      </w:r>
    </w:p>
    <w:p w14:paraId="123F3B17" w14:textId="77777777" w:rsidR="00BD7990" w:rsidRPr="00A45FE2" w:rsidRDefault="00BD7990" w:rsidP="00953339">
      <w:pPr>
        <w:rPr>
          <w:b/>
          <w:bCs/>
          <w:lang w:val="en-GB"/>
        </w:rPr>
      </w:pPr>
    </w:p>
    <w:p w14:paraId="0827431F" w14:textId="5B2DBA0B" w:rsidR="00A901ED" w:rsidRPr="00A45FE2" w:rsidRDefault="00BD7990" w:rsidP="00D34940">
      <w:pPr>
        <w:keepNext/>
        <w:rPr>
          <w:b/>
          <w:bCs/>
          <w:lang w:val="en-GB"/>
        </w:rPr>
      </w:pPr>
      <w:r w:rsidRPr="00A45FE2">
        <w:rPr>
          <w:b/>
          <w:bCs/>
          <w:lang w:val="en-GB"/>
        </w:rPr>
        <w:t>PERMANENT GROUP ON TRANSPORT</w:t>
      </w:r>
    </w:p>
    <w:p w14:paraId="7DB69DDF" w14:textId="4AA69043" w:rsidR="00A901ED" w:rsidRPr="00A45FE2" w:rsidRDefault="00A901ED" w:rsidP="00D34940">
      <w:pPr>
        <w:keepNext/>
        <w:rPr>
          <w:b/>
          <w:bCs/>
          <w:lang w:val="en-GB"/>
        </w:rPr>
      </w:pPr>
    </w:p>
    <w:p w14:paraId="72F92E08" w14:textId="0D990AE5" w:rsidR="00C35E43" w:rsidRPr="00CC1714" w:rsidRDefault="00DB5CE5" w:rsidP="00CC1714">
      <w:pPr>
        <w:pStyle w:val="Heading2"/>
        <w:rPr>
          <w:b/>
          <w:bCs/>
          <w:i/>
          <w:iCs/>
          <w:lang w:val="en-GB"/>
        </w:rPr>
      </w:pPr>
      <w:r w:rsidRPr="00CC1714">
        <w:rPr>
          <w:b/>
          <w:bCs/>
          <w:i/>
          <w:iCs/>
          <w:lang w:val="en-GB"/>
        </w:rPr>
        <w:t>Maritime transport</w:t>
      </w:r>
    </w:p>
    <w:p w14:paraId="7254FB2E" w14:textId="4343B893" w:rsidR="00D34940" w:rsidRPr="00A45FE2" w:rsidRDefault="00D34940" w:rsidP="00953339">
      <w:pPr>
        <w:rPr>
          <w:bCs/>
          <w:lang w:val="en-GB"/>
        </w:rPr>
      </w:pPr>
      <w:r w:rsidRPr="00A45FE2">
        <w:rPr>
          <w:lang w:val="en-GB"/>
        </w:rPr>
        <w:t xml:space="preserve">In 2023, the </w:t>
      </w:r>
      <w:r w:rsidR="00BF26F5" w:rsidRPr="00A45FE2">
        <w:rPr>
          <w:lang w:val="en-GB"/>
        </w:rPr>
        <w:t>TEN section</w:t>
      </w:r>
      <w:r w:rsidRPr="00C73656">
        <w:rPr>
          <w:lang w:val="en-GB"/>
        </w:rPr>
        <w:t xml:space="preserve"> embarked on extensive efforts concerning maritime legislation, with a notable milestone being the adoption of the </w:t>
      </w:r>
      <w:r w:rsidRPr="00A45FE2">
        <w:rPr>
          <w:b/>
          <w:bCs/>
          <w:lang w:val="en-GB"/>
        </w:rPr>
        <w:t xml:space="preserve">Maritime </w:t>
      </w:r>
      <w:r w:rsidR="004E41C1" w:rsidRPr="00A45FE2">
        <w:rPr>
          <w:b/>
          <w:bCs/>
          <w:lang w:val="en-GB"/>
        </w:rPr>
        <w:t xml:space="preserve">Safety </w:t>
      </w:r>
      <w:r w:rsidRPr="00A45FE2">
        <w:rPr>
          <w:b/>
          <w:bCs/>
          <w:lang w:val="en-GB"/>
        </w:rPr>
        <w:t>Package</w:t>
      </w:r>
      <w:r w:rsidRPr="00A45FE2">
        <w:rPr>
          <w:lang w:val="en-GB"/>
        </w:rPr>
        <w:t xml:space="preserve"> in September of that year</w:t>
      </w:r>
      <w:r w:rsidR="00A46C07" w:rsidRPr="00A45FE2">
        <w:rPr>
          <w:lang w:val="en-GB"/>
        </w:rPr>
        <w:t xml:space="preserve">. </w:t>
      </w:r>
      <w:r w:rsidRPr="00A45FE2">
        <w:rPr>
          <w:lang w:val="en-GB"/>
        </w:rPr>
        <w:t xml:space="preserve">Building on the success of these initiatives, </w:t>
      </w:r>
      <w:r w:rsidR="00BF26F5" w:rsidRPr="00A45FE2">
        <w:rPr>
          <w:lang w:val="en-GB"/>
        </w:rPr>
        <w:t xml:space="preserve">the PG-T plans </w:t>
      </w:r>
      <w:r w:rsidRPr="00A45FE2">
        <w:rPr>
          <w:lang w:val="en-GB"/>
        </w:rPr>
        <w:t xml:space="preserve">a </w:t>
      </w:r>
      <w:r w:rsidRPr="00A45FE2">
        <w:rPr>
          <w:b/>
          <w:bCs/>
          <w:lang w:val="en-GB"/>
        </w:rPr>
        <w:t>study visit to the European Maritime Safety Agency</w:t>
      </w:r>
      <w:r w:rsidRPr="00A45FE2">
        <w:rPr>
          <w:lang w:val="en-GB"/>
        </w:rPr>
        <w:t xml:space="preserve"> (EMSA) </w:t>
      </w:r>
      <w:r w:rsidR="00EA6753" w:rsidRPr="00A45FE2">
        <w:rPr>
          <w:lang w:val="en-GB"/>
        </w:rPr>
        <w:t xml:space="preserve">at the </w:t>
      </w:r>
      <w:r w:rsidR="00DC406C" w:rsidRPr="00A45FE2">
        <w:rPr>
          <w:lang w:val="en-GB"/>
        </w:rPr>
        <w:t>beginning</w:t>
      </w:r>
      <w:r w:rsidRPr="00A45FE2">
        <w:rPr>
          <w:lang w:val="en-GB"/>
        </w:rPr>
        <w:t xml:space="preserve"> </w:t>
      </w:r>
      <w:r w:rsidR="00EA6753" w:rsidRPr="00A45FE2">
        <w:rPr>
          <w:lang w:val="en-GB"/>
        </w:rPr>
        <w:t xml:space="preserve">of </w:t>
      </w:r>
      <w:r w:rsidRPr="00A45FE2">
        <w:rPr>
          <w:lang w:val="en-GB"/>
        </w:rPr>
        <w:t>2024</w:t>
      </w:r>
      <w:r w:rsidR="00A04634" w:rsidRPr="00A45FE2">
        <w:rPr>
          <w:lang w:val="en-GB"/>
        </w:rPr>
        <w:t>, keeping in mind the strategic role of the existing EU fleet to provide services that ensure energy and food security for the European Union and its citizens</w:t>
      </w:r>
      <w:r w:rsidRPr="00A45FE2">
        <w:rPr>
          <w:lang w:val="en-GB"/>
        </w:rPr>
        <w:t>.</w:t>
      </w:r>
      <w:r w:rsidR="0020475D" w:rsidRPr="00A45FE2">
        <w:rPr>
          <w:lang w:val="en-GB"/>
        </w:rPr>
        <w:t xml:space="preserve"> </w:t>
      </w:r>
      <w:r w:rsidR="00485CB2" w:rsidRPr="00A45FE2">
        <w:rPr>
          <w:lang w:val="en-GB"/>
        </w:rPr>
        <w:t>Moreover, an own-initiative opinion will be dedicated to "</w:t>
      </w:r>
      <w:r w:rsidR="00485CB2" w:rsidRPr="00A45FE2">
        <w:rPr>
          <w:bCs/>
          <w:lang w:val="en-GB"/>
        </w:rPr>
        <w:t>Strengthening the EU maritime space through coordinated investment policies, social partners and civil society".</w:t>
      </w:r>
    </w:p>
    <w:p w14:paraId="180CC0E3" w14:textId="3C508401" w:rsidR="00DB5CE5" w:rsidRPr="00A45FE2" w:rsidRDefault="00DB5CE5" w:rsidP="00953339">
      <w:pPr>
        <w:rPr>
          <w:bCs/>
          <w:lang w:val="en-GB"/>
        </w:rPr>
      </w:pPr>
    </w:p>
    <w:p w14:paraId="77E4F566" w14:textId="49526227" w:rsidR="00DB5CE5" w:rsidRPr="00CC1714" w:rsidRDefault="00DB5CE5" w:rsidP="00CC1714">
      <w:pPr>
        <w:pStyle w:val="Heading2"/>
        <w:rPr>
          <w:b/>
          <w:bCs/>
          <w:i/>
          <w:iCs/>
          <w:lang w:val="en-GB"/>
        </w:rPr>
      </w:pPr>
      <w:r w:rsidRPr="00CC1714">
        <w:rPr>
          <w:b/>
          <w:bCs/>
          <w:i/>
          <w:iCs/>
          <w:lang w:val="en-GB"/>
        </w:rPr>
        <w:t>Cross-border transport</w:t>
      </w:r>
    </w:p>
    <w:p w14:paraId="70DA50EF" w14:textId="5596D942" w:rsidR="00A04634" w:rsidRPr="00A45FE2" w:rsidRDefault="00DB5CE5" w:rsidP="00953339">
      <w:pPr>
        <w:rPr>
          <w:lang w:val="en-GB"/>
        </w:rPr>
      </w:pPr>
      <w:r w:rsidRPr="00A45FE2">
        <w:rPr>
          <w:lang w:val="en-GB"/>
        </w:rPr>
        <w:lastRenderedPageBreak/>
        <w:t xml:space="preserve">In addition, </w:t>
      </w:r>
      <w:r w:rsidR="00A27E6C" w:rsidRPr="00A45FE2">
        <w:rPr>
          <w:lang w:val="en-GB"/>
        </w:rPr>
        <w:t>in line with</w:t>
      </w:r>
      <w:r w:rsidRPr="00A45FE2">
        <w:rPr>
          <w:lang w:val="en-GB"/>
        </w:rPr>
        <w:t xml:space="preserve"> one of the priorities of </w:t>
      </w:r>
      <w:r w:rsidR="00A27E6C" w:rsidRPr="00A45FE2">
        <w:rPr>
          <w:lang w:val="en-GB"/>
        </w:rPr>
        <w:t xml:space="preserve">the </w:t>
      </w:r>
      <w:r w:rsidRPr="00A45FE2">
        <w:rPr>
          <w:lang w:val="en-GB"/>
        </w:rPr>
        <w:t xml:space="preserve">Belgian Presidency seeking to improve the connection of Ukraine and Moldova to the EU and seeking to strengthen the EU's leadership in developing a safe, clean, efficient and advanced transport policy, the PG-T might </w:t>
      </w:r>
      <w:r w:rsidR="00A27E6C" w:rsidRPr="00A45FE2">
        <w:rPr>
          <w:lang w:val="en-GB"/>
        </w:rPr>
        <w:t>hold</w:t>
      </w:r>
      <w:r w:rsidRPr="00A45FE2">
        <w:rPr>
          <w:lang w:val="en-GB"/>
        </w:rPr>
        <w:t xml:space="preserve"> a discussion on the barriers hindering fluid transport in Europe.</w:t>
      </w:r>
    </w:p>
    <w:p w14:paraId="41350441" w14:textId="57B294C0" w:rsidR="00D34940" w:rsidRPr="00A45FE2" w:rsidRDefault="00D34940" w:rsidP="00953339">
      <w:pPr>
        <w:rPr>
          <w:lang w:val="en-GB"/>
        </w:rPr>
      </w:pPr>
    </w:p>
    <w:p w14:paraId="79015ECA" w14:textId="79F18DF5" w:rsidR="00DB5CE5" w:rsidRPr="00CC1714" w:rsidRDefault="00DB5CE5" w:rsidP="00CC1714">
      <w:pPr>
        <w:pStyle w:val="Heading2"/>
        <w:rPr>
          <w:b/>
          <w:bCs/>
          <w:i/>
          <w:iCs/>
          <w:lang w:val="en-GB"/>
        </w:rPr>
      </w:pPr>
      <w:r w:rsidRPr="00CC1714">
        <w:rPr>
          <w:b/>
          <w:bCs/>
          <w:i/>
          <w:iCs/>
          <w:lang w:val="en-GB"/>
        </w:rPr>
        <w:t xml:space="preserve">The ITF </w:t>
      </w:r>
      <w:proofErr w:type="gramStart"/>
      <w:r w:rsidRPr="00CC1714">
        <w:rPr>
          <w:b/>
          <w:bCs/>
          <w:i/>
          <w:iCs/>
          <w:lang w:val="en-GB"/>
        </w:rPr>
        <w:t>summit</w:t>
      </w:r>
      <w:proofErr w:type="gramEnd"/>
    </w:p>
    <w:p w14:paraId="0A08B061" w14:textId="4579C69A" w:rsidR="00C80A2A" w:rsidRPr="00A45FE2" w:rsidRDefault="00030D15" w:rsidP="00953339">
      <w:pPr>
        <w:rPr>
          <w:lang w:val="en-GB"/>
        </w:rPr>
      </w:pPr>
      <w:r w:rsidRPr="00A45FE2">
        <w:rPr>
          <w:lang w:val="en-GB"/>
        </w:rPr>
        <w:t xml:space="preserve">Moreover, the PG-T </w:t>
      </w:r>
      <w:r w:rsidR="00655646" w:rsidRPr="00A45FE2">
        <w:rPr>
          <w:lang w:val="en-GB"/>
        </w:rPr>
        <w:t xml:space="preserve">plans </w:t>
      </w:r>
      <w:r w:rsidRPr="00C73656">
        <w:rPr>
          <w:lang w:val="en-GB"/>
        </w:rPr>
        <w:t>to contribute to the organi</w:t>
      </w:r>
      <w:r w:rsidR="00655646" w:rsidRPr="00A45FE2">
        <w:rPr>
          <w:lang w:val="en-GB"/>
        </w:rPr>
        <w:t>s</w:t>
      </w:r>
      <w:r w:rsidRPr="00A45FE2">
        <w:rPr>
          <w:lang w:val="en-GB"/>
        </w:rPr>
        <w:t>ation of a side event at the International Transport Forum Summit on 22-24 May 2024</w:t>
      </w:r>
      <w:r w:rsidR="00655646" w:rsidRPr="00A45FE2">
        <w:rPr>
          <w:lang w:val="en-GB"/>
        </w:rPr>
        <w:t xml:space="preserve"> in</w:t>
      </w:r>
      <w:r w:rsidRPr="00A45FE2">
        <w:rPr>
          <w:lang w:val="en-GB"/>
        </w:rPr>
        <w:t xml:space="preserve"> Leipzig, Germany</w:t>
      </w:r>
      <w:r w:rsidR="00195B04" w:rsidRPr="00A45FE2">
        <w:rPr>
          <w:lang w:val="en-GB"/>
        </w:rPr>
        <w:t>,</w:t>
      </w:r>
      <w:r w:rsidRPr="00A45FE2">
        <w:rPr>
          <w:lang w:val="en-GB"/>
        </w:rPr>
        <w:t xml:space="preserve"> with the title Greening Transport: Keeping Focus in Times of Crisis. The ITF</w:t>
      </w:r>
      <w:r w:rsidR="00655646" w:rsidRPr="00A45FE2">
        <w:rPr>
          <w:lang w:val="en-GB"/>
        </w:rPr>
        <w:t>'</w:t>
      </w:r>
      <w:r w:rsidRPr="00A45FE2">
        <w:rPr>
          <w:lang w:val="en-GB"/>
        </w:rPr>
        <w:t>s Annual Summit is the world</w:t>
      </w:r>
      <w:r w:rsidR="00655646" w:rsidRPr="00A45FE2">
        <w:rPr>
          <w:lang w:val="en-GB"/>
        </w:rPr>
        <w:t>'</w:t>
      </w:r>
      <w:r w:rsidRPr="00A45FE2">
        <w:rPr>
          <w:lang w:val="en-GB"/>
        </w:rPr>
        <w:t>s largest gathering of transport ministers and the big</w:t>
      </w:r>
      <w:r w:rsidR="00655646" w:rsidRPr="00A45FE2">
        <w:rPr>
          <w:lang w:val="en-GB"/>
        </w:rPr>
        <w:t>gest</w:t>
      </w:r>
      <w:r w:rsidRPr="00A45FE2">
        <w:rPr>
          <w:lang w:val="en-GB"/>
        </w:rPr>
        <w:t xml:space="preserve"> global platform for dialogue on transport policy aiming at </w:t>
      </w:r>
      <w:r w:rsidR="00655646" w:rsidRPr="00A45FE2">
        <w:rPr>
          <w:lang w:val="en-GB"/>
        </w:rPr>
        <w:t xml:space="preserve">a </w:t>
      </w:r>
      <w:r w:rsidRPr="00A45FE2">
        <w:rPr>
          <w:lang w:val="en-GB"/>
        </w:rPr>
        <w:t>deeper understanding of the role of transport in economic growth, environmental sustainability and social inclusion.</w:t>
      </w:r>
    </w:p>
    <w:p w14:paraId="41619ACF" w14:textId="77777777" w:rsidR="00A75699" w:rsidRPr="00A45FE2" w:rsidRDefault="00A75699" w:rsidP="00223C7F">
      <w:pPr>
        <w:rPr>
          <w:b/>
          <w:bCs/>
          <w:lang w:val="en-GB"/>
        </w:rPr>
      </w:pPr>
    </w:p>
    <w:p w14:paraId="3DE7F298" w14:textId="5A09B495" w:rsidR="00520B31" w:rsidRPr="00CC1714" w:rsidRDefault="00BD7990" w:rsidP="00CC1714">
      <w:pPr>
        <w:pStyle w:val="Heading1"/>
        <w:rPr>
          <w:b/>
          <w:bCs/>
          <w:lang w:val="en-GB"/>
        </w:rPr>
      </w:pPr>
      <w:r w:rsidRPr="00CC1714">
        <w:rPr>
          <w:b/>
          <w:bCs/>
          <w:lang w:val="en-GB"/>
        </w:rPr>
        <w:t>PERMANENT GROUP ON SERVICES OF GENERAL INTEREST (PG-SGI)</w:t>
      </w:r>
    </w:p>
    <w:p w14:paraId="19994D3D" w14:textId="73F723BE" w:rsidR="00520B31" w:rsidRPr="00A45FE2" w:rsidRDefault="00520B31" w:rsidP="00953339">
      <w:pPr>
        <w:keepNext/>
        <w:rPr>
          <w:lang w:val="en-GB"/>
        </w:rPr>
      </w:pPr>
    </w:p>
    <w:p w14:paraId="7ECF01F0" w14:textId="77777777" w:rsidR="00281518" w:rsidRPr="00A45FE2" w:rsidRDefault="00281518" w:rsidP="00281518">
      <w:pPr>
        <w:rPr>
          <w:lang w:val="en-GB"/>
        </w:rPr>
      </w:pPr>
      <w:r w:rsidRPr="00A45FE2">
        <w:rPr>
          <w:lang w:val="en-GB"/>
        </w:rPr>
        <w:t>Services of general interest and essential services should be at the centre of the just and equitable green transition, which should combine social, digital and climate-neutral transformation while maximising employment and competitiveness opportunities for workers and businesses.</w:t>
      </w:r>
    </w:p>
    <w:p w14:paraId="210C95AA" w14:textId="668A5164" w:rsidR="00DB5CE5" w:rsidRPr="00A45FE2" w:rsidRDefault="00DB5CE5" w:rsidP="00223C7F">
      <w:pPr>
        <w:rPr>
          <w:lang w:val="en-GB"/>
        </w:rPr>
      </w:pPr>
    </w:p>
    <w:p w14:paraId="0A47C830" w14:textId="54B0B815" w:rsidR="00DB5CE5" w:rsidRPr="00CC1714" w:rsidRDefault="00281518" w:rsidP="00CC1714">
      <w:pPr>
        <w:pStyle w:val="Heading2"/>
        <w:rPr>
          <w:b/>
          <w:bCs/>
          <w:i/>
          <w:iCs/>
          <w:lang w:val="en-GB"/>
        </w:rPr>
      </w:pPr>
      <w:r w:rsidRPr="00CC1714">
        <w:rPr>
          <w:b/>
          <w:bCs/>
          <w:i/>
          <w:iCs/>
          <w:lang w:val="en-GB"/>
        </w:rPr>
        <w:t>Housing</w:t>
      </w:r>
    </w:p>
    <w:p w14:paraId="0E2D2A99" w14:textId="77777777" w:rsidR="00281518" w:rsidRPr="00A45FE2" w:rsidRDefault="008D3D96" w:rsidP="00223C7F">
      <w:pPr>
        <w:rPr>
          <w:lang w:val="en-GB"/>
        </w:rPr>
      </w:pPr>
      <w:r w:rsidRPr="00A45FE2">
        <w:rPr>
          <w:lang w:val="en-GB"/>
        </w:rPr>
        <w:t xml:space="preserve">The availability, accessibility and sustainability of decent housing will remain priorities for the TEN </w:t>
      </w:r>
      <w:proofErr w:type="gramStart"/>
      <w:r w:rsidRPr="00A45FE2">
        <w:rPr>
          <w:lang w:val="en-GB"/>
        </w:rPr>
        <w:t>section</w:t>
      </w:r>
      <w:proofErr w:type="gramEnd"/>
      <w:r w:rsidRPr="00A45FE2">
        <w:rPr>
          <w:lang w:val="en-GB"/>
        </w:rPr>
        <w:t xml:space="preserve"> in 2024. </w:t>
      </w:r>
    </w:p>
    <w:p w14:paraId="0FEB8D4C" w14:textId="77777777" w:rsidR="00281518" w:rsidRPr="00A45FE2" w:rsidRDefault="00281518" w:rsidP="00223C7F">
      <w:pPr>
        <w:rPr>
          <w:lang w:val="en-GB"/>
        </w:rPr>
      </w:pPr>
    </w:p>
    <w:p w14:paraId="21EE9A87" w14:textId="0FE539BF" w:rsidR="00281518" w:rsidRPr="00A45FE2" w:rsidRDefault="008D3D96" w:rsidP="00223C7F">
      <w:pPr>
        <w:rPr>
          <w:lang w:val="en-GB"/>
        </w:rPr>
      </w:pPr>
      <w:r w:rsidRPr="00A45FE2">
        <w:rPr>
          <w:lang w:val="en-GB"/>
        </w:rPr>
        <w:t>The rising cost of living and the costs of building, renovating and renting are creating increasing difficulties for all households, but particularly for the most socially vulnerable groups who live in non-renovated and energy</w:t>
      </w:r>
      <w:r w:rsidR="00C117B8" w:rsidRPr="00A45FE2">
        <w:rPr>
          <w:lang w:val="en-GB"/>
        </w:rPr>
        <w:t>-</w:t>
      </w:r>
      <w:r w:rsidRPr="00A45FE2">
        <w:rPr>
          <w:lang w:val="en-GB"/>
        </w:rPr>
        <w:t xml:space="preserve">inefficient housing. </w:t>
      </w:r>
      <w:r w:rsidR="00281518" w:rsidRPr="00A45FE2">
        <w:rPr>
          <w:lang w:val="en-GB"/>
        </w:rPr>
        <w:t>Social housing policy and building renovation will therefore be treated as a priority.</w:t>
      </w:r>
    </w:p>
    <w:p w14:paraId="0BF85A0B" w14:textId="77777777" w:rsidR="00281518" w:rsidRPr="00A45FE2" w:rsidRDefault="00281518" w:rsidP="00223C7F">
      <w:pPr>
        <w:rPr>
          <w:lang w:val="en-GB"/>
        </w:rPr>
      </w:pPr>
    </w:p>
    <w:p w14:paraId="5CB7D372" w14:textId="0471A4F4" w:rsidR="008D3D96" w:rsidRPr="00A45FE2" w:rsidRDefault="008D3D96" w:rsidP="00223C7F">
      <w:pPr>
        <w:rPr>
          <w:lang w:val="en-GB"/>
        </w:rPr>
      </w:pPr>
      <w:r w:rsidRPr="00A45FE2">
        <w:rPr>
          <w:lang w:val="en-GB"/>
        </w:rPr>
        <w:t xml:space="preserve">Having addressed the need for affordable and energy efficient housing as a solution to alleviate fuel poverty and household stress at the EESC's Third Energy Poverty Conference in July 2023, </w:t>
      </w:r>
      <w:r w:rsidR="00281518" w:rsidRPr="00A45FE2">
        <w:rPr>
          <w:lang w:val="en-GB"/>
        </w:rPr>
        <w:t xml:space="preserve">in February 2024 </w:t>
      </w:r>
      <w:r w:rsidRPr="00A45FE2">
        <w:rPr>
          <w:lang w:val="en-GB"/>
        </w:rPr>
        <w:t xml:space="preserve">the TEN </w:t>
      </w:r>
      <w:r w:rsidR="001D5056">
        <w:rPr>
          <w:lang w:val="en-GB"/>
        </w:rPr>
        <w:t>s</w:t>
      </w:r>
      <w:r w:rsidRPr="00A45FE2">
        <w:rPr>
          <w:lang w:val="en-GB"/>
        </w:rPr>
        <w:t xml:space="preserve">ection </w:t>
      </w:r>
      <w:r w:rsidR="00BD7990" w:rsidRPr="00A45FE2">
        <w:rPr>
          <w:lang w:val="en-GB"/>
        </w:rPr>
        <w:t>organise</w:t>
      </w:r>
      <w:r w:rsidR="00281518" w:rsidRPr="00A45FE2">
        <w:rPr>
          <w:lang w:val="en-GB"/>
        </w:rPr>
        <w:t>d</w:t>
      </w:r>
      <w:r w:rsidRPr="00A45FE2">
        <w:rPr>
          <w:lang w:val="en-GB"/>
        </w:rPr>
        <w:t xml:space="preserve"> a </w:t>
      </w:r>
      <w:r w:rsidR="00281518" w:rsidRPr="00A45FE2">
        <w:rPr>
          <w:lang w:val="en-GB"/>
        </w:rPr>
        <w:t xml:space="preserve">high-level </w:t>
      </w:r>
      <w:r w:rsidRPr="00A45FE2">
        <w:rPr>
          <w:lang w:val="en-GB"/>
        </w:rPr>
        <w:t>conference on</w:t>
      </w:r>
      <w:r w:rsidR="00C117B8" w:rsidRPr="00A45FE2">
        <w:rPr>
          <w:lang w:val="en-GB"/>
        </w:rPr>
        <w:t xml:space="preserve"> the</w:t>
      </w:r>
      <w:r w:rsidRPr="00A45FE2">
        <w:rPr>
          <w:lang w:val="en-GB"/>
        </w:rPr>
        <w:t xml:space="preserve"> </w:t>
      </w:r>
      <w:r w:rsidR="00C117B8" w:rsidRPr="00A45FE2">
        <w:rPr>
          <w:lang w:val="en-GB"/>
        </w:rPr>
        <w:t>"</w:t>
      </w:r>
      <w:r w:rsidRPr="00A45FE2">
        <w:rPr>
          <w:lang w:val="en-GB"/>
        </w:rPr>
        <w:t>Housing Crisis in Europe: the way forward?</w:t>
      </w:r>
      <w:r w:rsidR="00C117B8" w:rsidRPr="00A45FE2">
        <w:rPr>
          <w:lang w:val="en-GB"/>
        </w:rPr>
        <w:t>"</w:t>
      </w:r>
      <w:r w:rsidRPr="00A45FE2">
        <w:rPr>
          <w:lang w:val="en-GB"/>
        </w:rPr>
        <w:t xml:space="preserve"> to review progress since the launch of the Renovation Wave strategy as part of the European Green Deal and to address some of the key challenges in the current context of a general </w:t>
      </w:r>
      <w:r w:rsidR="00C117B8" w:rsidRPr="00A45FE2">
        <w:rPr>
          <w:lang w:val="en-GB"/>
        </w:rPr>
        <w:t>"</w:t>
      </w:r>
      <w:r w:rsidRPr="00A45FE2">
        <w:rPr>
          <w:lang w:val="en-GB"/>
        </w:rPr>
        <w:t>cost of living crisis</w:t>
      </w:r>
      <w:r w:rsidR="00C117B8" w:rsidRPr="00A45FE2">
        <w:rPr>
          <w:lang w:val="en-GB"/>
        </w:rPr>
        <w:t>"</w:t>
      </w:r>
      <w:r w:rsidRPr="00A45FE2">
        <w:rPr>
          <w:lang w:val="en-GB"/>
        </w:rPr>
        <w:t>.</w:t>
      </w:r>
      <w:r w:rsidR="00281518" w:rsidRPr="00A45FE2">
        <w:rPr>
          <w:lang w:val="en-GB"/>
        </w:rPr>
        <w:t xml:space="preserve"> The conclusions of this conference will feed into the final declaration of the EU </w:t>
      </w:r>
      <w:proofErr w:type="spellStart"/>
      <w:r w:rsidR="00281518" w:rsidRPr="00A45FE2">
        <w:rPr>
          <w:lang w:val="en-GB"/>
        </w:rPr>
        <w:t>interministerial</w:t>
      </w:r>
      <w:proofErr w:type="spellEnd"/>
      <w:r w:rsidR="00281518" w:rsidRPr="00A45FE2">
        <w:rPr>
          <w:lang w:val="en-GB"/>
        </w:rPr>
        <w:t xml:space="preserve"> conference </w:t>
      </w:r>
      <w:r w:rsidR="00A27E6C" w:rsidRPr="00A45FE2">
        <w:rPr>
          <w:lang w:val="en-GB"/>
        </w:rPr>
        <w:t>to be hosted by</w:t>
      </w:r>
      <w:r w:rsidR="00281518" w:rsidRPr="00A45FE2">
        <w:rPr>
          <w:lang w:val="en-GB"/>
        </w:rPr>
        <w:t xml:space="preserve"> the Belgian Presidency in Liège on 5 March. Both the conference conclusions and the own-initiative opinion on social housing can provide a good basis for future work on the housing crisis under the Polish Presidency.</w:t>
      </w:r>
    </w:p>
    <w:p w14:paraId="48B10FB1" w14:textId="602C2ACB" w:rsidR="00A75699" w:rsidRPr="00A45FE2" w:rsidRDefault="00A75699" w:rsidP="00223C7F">
      <w:pPr>
        <w:rPr>
          <w:lang w:val="en-GB"/>
        </w:rPr>
      </w:pPr>
    </w:p>
    <w:p w14:paraId="19728DE2" w14:textId="3F72DE8D" w:rsidR="00CD74EC" w:rsidRPr="00CC1714" w:rsidRDefault="00CD74EC" w:rsidP="00CC1714">
      <w:pPr>
        <w:pStyle w:val="Heading2"/>
        <w:rPr>
          <w:b/>
          <w:bCs/>
          <w:i/>
          <w:iCs/>
          <w:lang w:val="en-GB"/>
        </w:rPr>
      </w:pPr>
      <w:r w:rsidRPr="00CC1714">
        <w:rPr>
          <w:b/>
          <w:bCs/>
          <w:i/>
          <w:iCs/>
          <w:lang w:val="en-GB"/>
        </w:rPr>
        <w:t>Rare Diseases</w:t>
      </w:r>
    </w:p>
    <w:p w14:paraId="42B2DBE3" w14:textId="19A78C8F" w:rsidR="00344456" w:rsidRPr="00A45FE2" w:rsidRDefault="008D3D96" w:rsidP="00344456">
      <w:pPr>
        <w:rPr>
          <w:lang w:val="en-GB"/>
        </w:rPr>
      </w:pPr>
      <w:r w:rsidRPr="00A45FE2">
        <w:rPr>
          <w:lang w:val="en-GB"/>
        </w:rPr>
        <w:t xml:space="preserve">Following the successful high-level EESC </w:t>
      </w:r>
      <w:r w:rsidR="00AF1870" w:rsidRPr="00A45FE2">
        <w:rPr>
          <w:lang w:val="en-GB"/>
        </w:rPr>
        <w:t>c</w:t>
      </w:r>
      <w:r w:rsidRPr="00A45FE2">
        <w:rPr>
          <w:lang w:val="en-GB"/>
        </w:rPr>
        <w:t xml:space="preserve">onference on "Rare diseases and European reference networks", </w:t>
      </w:r>
      <w:r w:rsidR="00E61403" w:rsidRPr="00A45FE2">
        <w:rPr>
          <w:lang w:val="en-GB"/>
        </w:rPr>
        <w:t xml:space="preserve">the TEN section will organise follow-up events under the Belgian and Hungarian Presidencies </w:t>
      </w:r>
      <w:r w:rsidR="00BF28F1" w:rsidRPr="00A45FE2">
        <w:rPr>
          <w:lang w:val="en-GB"/>
        </w:rPr>
        <w:t xml:space="preserve">of the EU Council </w:t>
      </w:r>
      <w:r w:rsidR="00E61403" w:rsidRPr="00A45FE2">
        <w:rPr>
          <w:lang w:val="en-GB"/>
        </w:rPr>
        <w:t xml:space="preserve">to explore the possibilities of a comprehensive European approach that takes into account all the needs of people living with rare diseases. </w:t>
      </w:r>
      <w:r w:rsidR="00C73656">
        <w:rPr>
          <w:lang w:val="en-GB"/>
        </w:rPr>
        <w:t>The</w:t>
      </w:r>
      <w:r w:rsidR="00CD74EC" w:rsidRPr="00A45FE2">
        <w:rPr>
          <w:lang w:val="en-GB"/>
        </w:rPr>
        <w:t xml:space="preserve"> first event will be held on 8 March </w:t>
      </w:r>
      <w:r w:rsidR="001D5056">
        <w:rPr>
          <w:lang w:val="en-GB"/>
        </w:rPr>
        <w:t>at</w:t>
      </w:r>
      <w:r w:rsidR="00CD74EC" w:rsidRPr="00A45FE2">
        <w:rPr>
          <w:lang w:val="en-GB"/>
        </w:rPr>
        <w:t xml:space="preserve"> the EESC, </w:t>
      </w:r>
      <w:r w:rsidR="00A27E6C" w:rsidRPr="00A45FE2">
        <w:rPr>
          <w:lang w:val="en-GB"/>
        </w:rPr>
        <w:t>organised jointly</w:t>
      </w:r>
      <w:r w:rsidR="00CD74EC" w:rsidRPr="00A45FE2">
        <w:rPr>
          <w:lang w:val="en-GB"/>
        </w:rPr>
        <w:t xml:space="preserve"> with DG </w:t>
      </w:r>
      <w:r w:rsidR="00A45FE2">
        <w:rPr>
          <w:lang w:val="en-GB"/>
        </w:rPr>
        <w:t>SANTE</w:t>
      </w:r>
      <w:r w:rsidR="00CD74EC" w:rsidRPr="00A45FE2">
        <w:rPr>
          <w:lang w:val="en-GB"/>
        </w:rPr>
        <w:t xml:space="preserve"> and the Member State consortium JARDIN.</w:t>
      </w:r>
    </w:p>
    <w:p w14:paraId="6BEEFF23" w14:textId="69512E49" w:rsidR="00344456" w:rsidRPr="00A45FE2" w:rsidRDefault="00344456" w:rsidP="00223C7F">
      <w:pPr>
        <w:rPr>
          <w:lang w:val="en-GB"/>
        </w:rPr>
      </w:pPr>
    </w:p>
    <w:p w14:paraId="6A699BA1" w14:textId="64D65379" w:rsidR="001B704B" w:rsidRPr="00CC1714" w:rsidRDefault="00CD74EC" w:rsidP="00CC1714">
      <w:pPr>
        <w:pStyle w:val="Heading2"/>
        <w:rPr>
          <w:b/>
          <w:bCs/>
          <w:i/>
          <w:iCs/>
          <w:lang w:val="en-GB"/>
        </w:rPr>
      </w:pPr>
      <w:r w:rsidRPr="00CC1714">
        <w:rPr>
          <w:b/>
          <w:bCs/>
          <w:i/>
          <w:iCs/>
          <w:lang w:val="en-GB"/>
        </w:rPr>
        <w:t>Water</w:t>
      </w:r>
    </w:p>
    <w:p w14:paraId="04681ECE" w14:textId="1FBAD795" w:rsidR="001B704B" w:rsidRPr="00A45FE2" w:rsidRDefault="00D06E8D" w:rsidP="00223C7F">
      <w:pPr>
        <w:rPr>
          <w:lang w:val="en-GB"/>
        </w:rPr>
      </w:pPr>
      <w:r w:rsidRPr="00A45FE2">
        <w:rPr>
          <w:lang w:val="en-GB"/>
        </w:rPr>
        <w:lastRenderedPageBreak/>
        <w:t>The EESC believes that universal access to drinking water and sanitation of high quality at affordable prices for the population should be treated as a public good.</w:t>
      </w:r>
      <w:r w:rsidR="004D3712" w:rsidRPr="00A45FE2">
        <w:rPr>
          <w:lang w:val="en-GB"/>
        </w:rPr>
        <w:t xml:space="preserve"> Following its own-initiative opinion on "Sustainable and resilient water infrastructures and distribution networks", the TEN section will continue its work on the access to water and sanitation, water use and re-use (circular water economy) and producer responsibility in the wastewater sector</w:t>
      </w:r>
      <w:r w:rsidR="00942065" w:rsidRPr="00A45FE2">
        <w:rPr>
          <w:lang w:val="en-GB"/>
        </w:rPr>
        <w:t>.</w:t>
      </w:r>
      <w:r w:rsidR="00295A60" w:rsidRPr="00A45FE2">
        <w:rPr>
          <w:lang w:val="en-GB"/>
        </w:rPr>
        <w:t xml:space="preserve"> </w:t>
      </w:r>
      <w:r w:rsidR="00942065" w:rsidRPr="00A45FE2">
        <w:rPr>
          <w:lang w:val="en-GB"/>
        </w:rPr>
        <w:t>It will also continue to fight</w:t>
      </w:r>
      <w:r w:rsidR="00063D3B" w:rsidRPr="00A45FE2">
        <w:rPr>
          <w:lang w:val="en-GB"/>
        </w:rPr>
        <w:t xml:space="preserve"> to avert</w:t>
      </w:r>
      <w:r w:rsidR="00295A60" w:rsidRPr="00A45FE2">
        <w:rPr>
          <w:lang w:val="en-GB"/>
        </w:rPr>
        <w:t xml:space="preserve"> a liberali</w:t>
      </w:r>
      <w:r w:rsidR="00A27E6C" w:rsidRPr="00A45FE2">
        <w:rPr>
          <w:lang w:val="en-GB"/>
        </w:rPr>
        <w:t>s</w:t>
      </w:r>
      <w:r w:rsidR="00295A60" w:rsidRPr="00A45FE2">
        <w:rPr>
          <w:lang w:val="en-GB"/>
        </w:rPr>
        <w:t xml:space="preserve">ation obligation in the sensitive water and wastewater sector and for </w:t>
      </w:r>
      <w:r w:rsidR="00063D3B" w:rsidRPr="00A45FE2">
        <w:rPr>
          <w:lang w:val="en-GB"/>
        </w:rPr>
        <w:t>stronger</w:t>
      </w:r>
      <w:r w:rsidR="00295A60" w:rsidRPr="00A45FE2">
        <w:rPr>
          <w:lang w:val="en-GB"/>
        </w:rPr>
        <w:t xml:space="preserve"> public services of general interest in the water sector and beyond</w:t>
      </w:r>
      <w:r w:rsidR="004D3712" w:rsidRPr="00A45FE2">
        <w:rPr>
          <w:lang w:val="en-GB"/>
        </w:rPr>
        <w:t>.</w:t>
      </w:r>
    </w:p>
    <w:p w14:paraId="289AF9EF" w14:textId="77777777" w:rsidR="001B704B" w:rsidRPr="00A45FE2" w:rsidRDefault="001B704B" w:rsidP="00223C7F">
      <w:pPr>
        <w:rPr>
          <w:lang w:val="en-GB"/>
        </w:rPr>
      </w:pPr>
    </w:p>
    <w:p w14:paraId="16CF590C" w14:textId="77777777" w:rsidR="00757ECF" w:rsidRPr="00CC1714" w:rsidRDefault="00757ECF" w:rsidP="00CC1714">
      <w:pPr>
        <w:pStyle w:val="Heading1"/>
        <w:rPr>
          <w:b/>
          <w:bCs/>
          <w:lang w:val="en-GB"/>
        </w:rPr>
      </w:pPr>
      <w:r w:rsidRPr="00CC1714">
        <w:rPr>
          <w:b/>
          <w:bCs/>
          <w:lang w:val="en-GB"/>
        </w:rPr>
        <w:t>SPACE</w:t>
      </w:r>
    </w:p>
    <w:p w14:paraId="2B97D2BD" w14:textId="77777777" w:rsidR="00757ECF" w:rsidRPr="00A45FE2" w:rsidRDefault="00757ECF" w:rsidP="00D31350">
      <w:pPr>
        <w:keepNext/>
        <w:rPr>
          <w:lang w:val="en-GB"/>
        </w:rPr>
      </w:pPr>
    </w:p>
    <w:p w14:paraId="61B3B3E8" w14:textId="2B291692" w:rsidR="0085086D" w:rsidRPr="00A45FE2" w:rsidRDefault="0085086D" w:rsidP="0085086D">
      <w:pPr>
        <w:rPr>
          <w:lang w:val="en-GB"/>
        </w:rPr>
      </w:pPr>
      <w:r w:rsidRPr="00A45FE2">
        <w:rPr>
          <w:lang w:val="en-GB"/>
        </w:rPr>
        <w:t>The importance of space industry for defence and security is currently increasing. In 2023 the European Commission proposed a space strategy for security and defence, underlining the growing need for resilience of the EU</w:t>
      </w:r>
      <w:r w:rsidR="00857FCC" w:rsidRPr="00A45FE2">
        <w:rPr>
          <w:lang w:val="en-GB"/>
        </w:rPr>
        <w:t>'</w:t>
      </w:r>
      <w:r w:rsidRPr="00A45FE2">
        <w:rPr>
          <w:lang w:val="en-GB"/>
        </w:rPr>
        <w:t xml:space="preserve">s space infrastructure and space capabilities, while also calling for a partnership for responsible behaviour in outer space. As a follow up </w:t>
      </w:r>
      <w:r w:rsidR="00857FCC" w:rsidRPr="00A45FE2">
        <w:rPr>
          <w:lang w:val="en-GB"/>
        </w:rPr>
        <w:t>t</w:t>
      </w:r>
      <w:r w:rsidRPr="00A45FE2">
        <w:rPr>
          <w:lang w:val="en-GB"/>
        </w:rPr>
        <w:t xml:space="preserve">o such strategy, the European Commission will therefore propose at the beginning of 2024 a </w:t>
      </w:r>
      <w:r w:rsidRPr="00A45FE2">
        <w:rPr>
          <w:b/>
          <w:bCs/>
          <w:lang w:val="en-GB"/>
        </w:rPr>
        <w:t>"European Union Space Law"</w:t>
      </w:r>
      <w:r w:rsidRPr="00A45FE2">
        <w:rPr>
          <w:lang w:val="en-GB"/>
        </w:rPr>
        <w:t xml:space="preserve"> which will include rules on space traffic management and on </w:t>
      </w:r>
      <w:r w:rsidR="00857FCC" w:rsidRPr="00A45FE2">
        <w:rPr>
          <w:lang w:val="en-GB"/>
        </w:rPr>
        <w:t xml:space="preserve">the </w:t>
      </w:r>
      <w:r w:rsidRPr="00A45FE2">
        <w:rPr>
          <w:lang w:val="en-GB"/>
        </w:rPr>
        <w:t>safety of critical space infrastructure.</w:t>
      </w:r>
    </w:p>
    <w:p w14:paraId="2A167CF3" w14:textId="77777777" w:rsidR="00757ECF" w:rsidRPr="00A45FE2" w:rsidRDefault="00757ECF" w:rsidP="00223C7F">
      <w:pPr>
        <w:rPr>
          <w:lang w:val="en-GB"/>
        </w:rPr>
      </w:pPr>
    </w:p>
    <w:p w14:paraId="72C9FD05" w14:textId="06A0516F" w:rsidR="00757ECF" w:rsidRPr="00CC1714" w:rsidRDefault="00757ECF" w:rsidP="00CC1714">
      <w:pPr>
        <w:pStyle w:val="Heading1"/>
        <w:rPr>
          <w:b/>
          <w:bCs/>
          <w:lang w:val="en-GB"/>
        </w:rPr>
      </w:pPr>
      <w:r w:rsidRPr="00CC1714">
        <w:rPr>
          <w:b/>
          <w:bCs/>
          <w:lang w:val="en-GB"/>
        </w:rPr>
        <w:t xml:space="preserve">INFORMATION SOCIETY </w:t>
      </w:r>
    </w:p>
    <w:p w14:paraId="49FC9A7B" w14:textId="77777777" w:rsidR="00757ECF" w:rsidRPr="00A45FE2" w:rsidRDefault="00757ECF" w:rsidP="00D31350">
      <w:pPr>
        <w:keepNext/>
        <w:rPr>
          <w:b/>
          <w:bCs/>
          <w:lang w:val="en-GB"/>
        </w:rPr>
      </w:pPr>
    </w:p>
    <w:p w14:paraId="3BB02630" w14:textId="02762AB2" w:rsidR="00E154B1" w:rsidRPr="00CC1714" w:rsidRDefault="00E154B1" w:rsidP="00CC1714">
      <w:pPr>
        <w:pStyle w:val="Heading2"/>
        <w:rPr>
          <w:b/>
          <w:bCs/>
          <w:i/>
          <w:iCs/>
          <w:lang w:val="en-GB"/>
        </w:rPr>
      </w:pPr>
      <w:r w:rsidRPr="00CC1714">
        <w:rPr>
          <w:b/>
          <w:bCs/>
          <w:i/>
          <w:iCs/>
          <w:lang w:val="en-GB"/>
        </w:rPr>
        <w:t>Digital networks</w:t>
      </w:r>
    </w:p>
    <w:p w14:paraId="54BEF5DA" w14:textId="77777777" w:rsidR="00E154B1" w:rsidRPr="00A45FE2" w:rsidRDefault="0085086D" w:rsidP="0085086D">
      <w:pPr>
        <w:rPr>
          <w:lang w:val="en-GB"/>
        </w:rPr>
      </w:pPr>
      <w:r w:rsidRPr="00A45FE2">
        <w:rPr>
          <w:lang w:val="en-GB"/>
        </w:rPr>
        <w:t xml:space="preserve">The European Commission has recently stated that major investments in digital networks are needed to meet the Digital Decade targets for 2030. Following the recent exploratory consultation, </w:t>
      </w:r>
      <w:r w:rsidRPr="00CC1714">
        <w:rPr>
          <w:lang w:val="en-GB"/>
        </w:rPr>
        <w:t>policy and regulatory actions regarding digital networks and infrastructure could be proposed in 2024</w:t>
      </w:r>
      <w:r w:rsidRPr="00A45FE2">
        <w:rPr>
          <w:lang w:val="en-GB"/>
        </w:rPr>
        <w:t xml:space="preserve"> to facilitate cross-border infrastructure operators in the single market, accelerate deployment of technologies and attract more capital into networks. </w:t>
      </w:r>
    </w:p>
    <w:p w14:paraId="506973AE" w14:textId="77777777" w:rsidR="0085086D" w:rsidRPr="00A45FE2" w:rsidRDefault="0085086D" w:rsidP="0085086D">
      <w:pPr>
        <w:rPr>
          <w:lang w:val="en-GB"/>
        </w:rPr>
      </w:pPr>
    </w:p>
    <w:p w14:paraId="47631963" w14:textId="1204AA6B" w:rsidR="00E154B1" w:rsidRPr="00CC1714" w:rsidRDefault="00E154B1" w:rsidP="00CC1714">
      <w:pPr>
        <w:pStyle w:val="Heading2"/>
        <w:rPr>
          <w:b/>
          <w:bCs/>
          <w:i/>
          <w:iCs/>
          <w:lang w:val="en-GB"/>
        </w:rPr>
      </w:pPr>
      <w:r w:rsidRPr="00CC1714">
        <w:rPr>
          <w:b/>
          <w:bCs/>
          <w:i/>
          <w:iCs/>
          <w:lang w:val="en-GB"/>
        </w:rPr>
        <w:t>The radio spectrum</w:t>
      </w:r>
    </w:p>
    <w:p w14:paraId="7887A822" w14:textId="75E65D83" w:rsidR="0085086D" w:rsidRPr="00A45FE2" w:rsidRDefault="0085086D" w:rsidP="0085086D">
      <w:pPr>
        <w:rPr>
          <w:lang w:val="en-GB"/>
        </w:rPr>
      </w:pPr>
      <w:r w:rsidRPr="00A45FE2">
        <w:rPr>
          <w:lang w:val="en-GB"/>
        </w:rPr>
        <w:t xml:space="preserve">The </w:t>
      </w:r>
      <w:r w:rsidRPr="00CC1714">
        <w:rPr>
          <w:lang w:val="en-GB"/>
        </w:rPr>
        <w:t>"New Radio Spectrum Policy Program</w:t>
      </w:r>
      <w:r w:rsidR="00857FCC" w:rsidRPr="00CC1714">
        <w:rPr>
          <w:lang w:val="en-GB"/>
        </w:rPr>
        <w:t>me</w:t>
      </w:r>
      <w:r w:rsidRPr="00CC1714">
        <w:rPr>
          <w:lang w:val="en-GB"/>
        </w:rPr>
        <w:t xml:space="preserve"> (RSPP)"</w:t>
      </w:r>
      <w:r w:rsidRPr="00A45FE2">
        <w:rPr>
          <w:lang w:val="en-GB"/>
        </w:rPr>
        <w:t xml:space="preserve"> legislative initiative, initially </w:t>
      </w:r>
      <w:r w:rsidR="00857FCC" w:rsidRPr="00A45FE2">
        <w:rPr>
          <w:lang w:val="en-GB"/>
        </w:rPr>
        <w:t xml:space="preserve">scheduled </w:t>
      </w:r>
      <w:r w:rsidRPr="00A45FE2">
        <w:rPr>
          <w:lang w:val="en-GB"/>
        </w:rPr>
        <w:t xml:space="preserve">for the third quarter of 2023, has been postponed </w:t>
      </w:r>
      <w:r w:rsidR="00857FCC" w:rsidRPr="00A45FE2">
        <w:rPr>
          <w:lang w:val="en-GB"/>
        </w:rPr>
        <w:t>until</w:t>
      </w:r>
      <w:r w:rsidRPr="00A45FE2">
        <w:rPr>
          <w:lang w:val="en-GB"/>
        </w:rPr>
        <w:t xml:space="preserve"> 2024. Such </w:t>
      </w:r>
      <w:r w:rsidR="00857FCC" w:rsidRPr="00A45FE2">
        <w:rPr>
          <w:lang w:val="en-GB"/>
        </w:rPr>
        <w:t xml:space="preserve">a </w:t>
      </w:r>
      <w:r w:rsidRPr="00A45FE2">
        <w:rPr>
          <w:lang w:val="en-GB"/>
        </w:rPr>
        <w:t xml:space="preserve">proposal will concern very important and strategic aspects of radio spectrum management and the harmonisation of its use in the European Union. </w:t>
      </w:r>
    </w:p>
    <w:p w14:paraId="7F5B88E2" w14:textId="77777777" w:rsidR="00832366" w:rsidRPr="00A45FE2" w:rsidRDefault="00832366" w:rsidP="00223C7F">
      <w:pPr>
        <w:rPr>
          <w:lang w:val="en-GB"/>
        </w:rPr>
      </w:pPr>
    </w:p>
    <w:p w14:paraId="27D43487" w14:textId="64221E34" w:rsidR="00E154B1" w:rsidRPr="00CC1714" w:rsidRDefault="00E154B1" w:rsidP="00CC1714">
      <w:pPr>
        <w:pStyle w:val="Heading2"/>
        <w:rPr>
          <w:b/>
          <w:bCs/>
          <w:i/>
          <w:iCs/>
          <w:lang w:val="en-GB"/>
        </w:rPr>
      </w:pPr>
      <w:r w:rsidRPr="00CC1714">
        <w:rPr>
          <w:b/>
          <w:bCs/>
          <w:i/>
          <w:iCs/>
          <w:lang w:val="en-GB"/>
        </w:rPr>
        <w:t>Universal access to telecommunications</w:t>
      </w:r>
    </w:p>
    <w:p w14:paraId="177FEE3A" w14:textId="0BEDA1A9" w:rsidR="00832366" w:rsidRPr="00A45FE2" w:rsidRDefault="00832366" w:rsidP="00832366">
      <w:pPr>
        <w:rPr>
          <w:lang w:val="en-GB"/>
        </w:rPr>
      </w:pPr>
      <w:r w:rsidRPr="00A45FE2">
        <w:rPr>
          <w:lang w:val="en-GB"/>
        </w:rPr>
        <w:t xml:space="preserve">In the framework of the provision of electronic communications networks and services to end-users, the "Universal Service Directive" of 2002 provided by law the availability of good-quality publicly available services, dealing in particular with circumstances in which the needs of end-users were not satisfactorily met by the market (for example, with measures to facilitate access for disabled end-users or facilitating the accessibility of emergency services). Following a request of the European Commission, </w:t>
      </w:r>
      <w:r w:rsidR="00857FCC" w:rsidRPr="00A45FE2">
        <w:rPr>
          <w:lang w:val="en-GB"/>
        </w:rPr>
        <w:t xml:space="preserve">in 2024 </w:t>
      </w:r>
      <w:r w:rsidRPr="00A45FE2">
        <w:rPr>
          <w:lang w:val="en-GB"/>
        </w:rPr>
        <w:t xml:space="preserve">the TEN Section will provide an </w:t>
      </w:r>
      <w:r w:rsidRPr="00CC1714">
        <w:rPr>
          <w:lang w:val="en-GB"/>
        </w:rPr>
        <w:t>exploratory opinion</w:t>
      </w:r>
      <w:r w:rsidRPr="00A45FE2">
        <w:rPr>
          <w:lang w:val="en-GB"/>
        </w:rPr>
        <w:t xml:space="preserve"> analysing the current situation of </w:t>
      </w:r>
      <w:r w:rsidRPr="00CC1714">
        <w:rPr>
          <w:lang w:val="en-GB"/>
        </w:rPr>
        <w:t>universal access</w:t>
      </w:r>
      <w:r w:rsidRPr="00A45FE2">
        <w:rPr>
          <w:lang w:val="en-GB"/>
        </w:rPr>
        <w:t xml:space="preserve"> and the effects of recent technological developments o</w:t>
      </w:r>
      <w:r w:rsidR="00857FCC" w:rsidRPr="00A45FE2">
        <w:rPr>
          <w:lang w:val="en-GB"/>
        </w:rPr>
        <w:t>n</w:t>
      </w:r>
      <w:r w:rsidRPr="00A45FE2">
        <w:rPr>
          <w:lang w:val="en-GB"/>
        </w:rPr>
        <w:t xml:space="preserve"> the existing provisions contained in the European Electronic Communications Code, with the aim of considering the need </w:t>
      </w:r>
      <w:r w:rsidR="00857FCC" w:rsidRPr="00A45FE2">
        <w:rPr>
          <w:lang w:val="en-GB"/>
        </w:rPr>
        <w:t>to</w:t>
      </w:r>
      <w:r w:rsidRPr="00A45FE2">
        <w:rPr>
          <w:lang w:val="en-GB"/>
        </w:rPr>
        <w:t xml:space="preserve"> modify or updat</w:t>
      </w:r>
      <w:r w:rsidR="00857FCC" w:rsidRPr="00A45FE2">
        <w:rPr>
          <w:lang w:val="en-GB"/>
        </w:rPr>
        <w:t>e</w:t>
      </w:r>
      <w:r w:rsidRPr="00A45FE2">
        <w:rPr>
          <w:lang w:val="en-GB"/>
        </w:rPr>
        <w:t xml:space="preserve"> them.</w:t>
      </w:r>
    </w:p>
    <w:p w14:paraId="365F9208" w14:textId="0B721B3F" w:rsidR="00E154B1" w:rsidRPr="00A45FE2" w:rsidRDefault="00E154B1" w:rsidP="00832366">
      <w:pPr>
        <w:rPr>
          <w:lang w:val="en-GB"/>
        </w:rPr>
      </w:pPr>
    </w:p>
    <w:p w14:paraId="338BE74D" w14:textId="73E39294" w:rsidR="00E154B1" w:rsidRPr="00CC1714" w:rsidRDefault="00E154B1" w:rsidP="00E154B1">
      <w:pPr>
        <w:pStyle w:val="Heading1"/>
        <w:rPr>
          <w:b/>
          <w:bCs/>
          <w:lang w:val="en-GB"/>
        </w:rPr>
      </w:pPr>
      <w:r w:rsidRPr="00CC1714">
        <w:rPr>
          <w:b/>
          <w:bCs/>
          <w:lang w:val="en-GB"/>
        </w:rPr>
        <w:t>CROSS-CUTTING ISSUES</w:t>
      </w:r>
    </w:p>
    <w:p w14:paraId="7C7B3D0F" w14:textId="1EE26E0C" w:rsidR="00E154B1" w:rsidRPr="00A45FE2" w:rsidRDefault="00E154B1" w:rsidP="00E154B1">
      <w:pPr>
        <w:rPr>
          <w:lang w:val="en-GB"/>
        </w:rPr>
      </w:pPr>
    </w:p>
    <w:p w14:paraId="6FA4971A" w14:textId="33C768A0" w:rsidR="00E154B1" w:rsidRPr="00CC1714" w:rsidRDefault="00E154B1" w:rsidP="00E154B1">
      <w:pPr>
        <w:pStyle w:val="Heading2"/>
        <w:rPr>
          <w:b/>
          <w:bCs/>
          <w:lang w:val="en-GB"/>
        </w:rPr>
      </w:pPr>
      <w:r w:rsidRPr="00CC1714">
        <w:rPr>
          <w:b/>
          <w:bCs/>
          <w:lang w:val="en-GB"/>
        </w:rPr>
        <w:t>Gender</w:t>
      </w:r>
    </w:p>
    <w:p w14:paraId="12D3EB2C" w14:textId="52BEFEBC" w:rsidR="00E154B1" w:rsidRPr="00A45FE2" w:rsidRDefault="00E154B1" w:rsidP="00E154B1">
      <w:pPr>
        <w:rPr>
          <w:lang w:val="en-GB"/>
        </w:rPr>
      </w:pPr>
      <w:r w:rsidRPr="00A45FE2">
        <w:rPr>
          <w:lang w:val="en-GB"/>
        </w:rPr>
        <w:lastRenderedPageBreak/>
        <w:t xml:space="preserve">The TEN </w:t>
      </w:r>
      <w:proofErr w:type="gramStart"/>
      <w:r w:rsidR="00063D3B" w:rsidRPr="00A45FE2">
        <w:rPr>
          <w:lang w:val="en-GB"/>
        </w:rPr>
        <w:t>s</w:t>
      </w:r>
      <w:r w:rsidRPr="00A45FE2">
        <w:rPr>
          <w:lang w:val="en-GB"/>
        </w:rPr>
        <w:t>ection</w:t>
      </w:r>
      <w:proofErr w:type="gramEnd"/>
      <w:r w:rsidRPr="00A45FE2">
        <w:rPr>
          <w:lang w:val="en-GB"/>
        </w:rPr>
        <w:t xml:space="preserve"> will pursue its policy of integrating gender-related issues in its work as a cross-cutting approach. It will make sure that panels are set up </w:t>
      </w:r>
      <w:r w:rsidR="00063D3B" w:rsidRPr="00A45FE2">
        <w:rPr>
          <w:lang w:val="en-GB"/>
        </w:rPr>
        <w:t>to monitor</w:t>
      </w:r>
      <w:r w:rsidRPr="00A45FE2">
        <w:rPr>
          <w:lang w:val="en-GB"/>
        </w:rPr>
        <w:t xml:space="preserve"> gender balance among speakers.</w:t>
      </w:r>
    </w:p>
    <w:p w14:paraId="04059AEB" w14:textId="66F1BAA4" w:rsidR="00E154B1" w:rsidRPr="00A45FE2" w:rsidRDefault="00E154B1" w:rsidP="00E154B1">
      <w:pPr>
        <w:rPr>
          <w:lang w:val="en-GB"/>
        </w:rPr>
      </w:pPr>
    </w:p>
    <w:p w14:paraId="6292269A" w14:textId="735BD85B" w:rsidR="00E154B1" w:rsidRPr="00CC1714" w:rsidRDefault="002021AF" w:rsidP="002021AF">
      <w:pPr>
        <w:pStyle w:val="Heading2"/>
        <w:rPr>
          <w:b/>
          <w:bCs/>
          <w:lang w:val="en-GB"/>
        </w:rPr>
      </w:pPr>
      <w:r w:rsidRPr="00CC1714">
        <w:rPr>
          <w:b/>
          <w:bCs/>
          <w:lang w:val="en-GB"/>
        </w:rPr>
        <w:t>Youth</w:t>
      </w:r>
    </w:p>
    <w:p w14:paraId="2587FDAB" w14:textId="59689939" w:rsidR="002021AF" w:rsidRPr="00A45FE2" w:rsidRDefault="00A276FD" w:rsidP="00A276FD">
      <w:pPr>
        <w:rPr>
          <w:lang w:val="en-GB"/>
        </w:rPr>
      </w:pPr>
      <w:r w:rsidRPr="00A45FE2">
        <w:rPr>
          <w:lang w:val="en-GB"/>
        </w:rPr>
        <w:t xml:space="preserve">The TEN </w:t>
      </w:r>
      <w:r w:rsidR="00063D3B" w:rsidRPr="00A45FE2">
        <w:rPr>
          <w:lang w:val="en-GB"/>
        </w:rPr>
        <w:t>s</w:t>
      </w:r>
      <w:r w:rsidRPr="00A45FE2">
        <w:rPr>
          <w:lang w:val="en-GB"/>
        </w:rPr>
        <w:t xml:space="preserve">ection is contributing to the ongoing pilot project on youth involvement in the EESC's legislative work </w:t>
      </w:r>
      <w:r w:rsidR="00063D3B" w:rsidRPr="00A45FE2">
        <w:rPr>
          <w:lang w:val="en-GB"/>
        </w:rPr>
        <w:t>with</w:t>
      </w:r>
      <w:r w:rsidRPr="00A45FE2">
        <w:rPr>
          <w:lang w:val="en-GB"/>
        </w:rPr>
        <w:t xml:space="preserve"> a strategic own-initiative opinion on Safeguarding democracy against disinformation</w:t>
      </w:r>
      <w:r w:rsidR="00063D3B" w:rsidRPr="00A45FE2">
        <w:rPr>
          <w:lang w:val="en-GB"/>
        </w:rPr>
        <w:t>,</w:t>
      </w:r>
      <w:r w:rsidRPr="00A45FE2">
        <w:rPr>
          <w:lang w:val="en-GB"/>
        </w:rPr>
        <w:t xml:space="preserve"> to be delivered by spring 2024. This opinion </w:t>
      </w:r>
      <w:r w:rsidR="00063D3B" w:rsidRPr="00A45FE2">
        <w:rPr>
          <w:lang w:val="en-GB"/>
        </w:rPr>
        <w:t>engages</w:t>
      </w:r>
      <w:r w:rsidRPr="00A45FE2">
        <w:rPr>
          <w:lang w:val="en-GB"/>
        </w:rPr>
        <w:t xml:space="preserve"> with organisations representing young people. The TEN </w:t>
      </w:r>
      <w:proofErr w:type="gramStart"/>
      <w:r w:rsidRPr="00A45FE2">
        <w:rPr>
          <w:lang w:val="en-GB"/>
        </w:rPr>
        <w:t>section</w:t>
      </w:r>
      <w:proofErr w:type="gramEnd"/>
      <w:r w:rsidRPr="00A45FE2">
        <w:rPr>
          <w:lang w:val="en-GB"/>
        </w:rPr>
        <w:t xml:space="preserve"> will also pay particular attention to the growing problem of housing for young people and will listen to </w:t>
      </w:r>
      <w:r w:rsidR="00063D3B" w:rsidRPr="00A45FE2">
        <w:rPr>
          <w:lang w:val="en-GB"/>
        </w:rPr>
        <w:t>their views,</w:t>
      </w:r>
      <w:r w:rsidRPr="00A45FE2">
        <w:rPr>
          <w:lang w:val="en-GB"/>
        </w:rPr>
        <w:t xml:space="preserve"> involving them in its work on energy poverty, housing and green transport.</w:t>
      </w:r>
    </w:p>
    <w:p w14:paraId="64B9BE58" w14:textId="44C83100" w:rsidR="00A276FD" w:rsidRPr="00A45FE2" w:rsidRDefault="00A276FD" w:rsidP="00A276FD">
      <w:pPr>
        <w:rPr>
          <w:lang w:val="en-GB"/>
        </w:rPr>
      </w:pPr>
    </w:p>
    <w:p w14:paraId="4F0CB094" w14:textId="0F352A31" w:rsidR="00A276FD" w:rsidRPr="00CC1714" w:rsidRDefault="00A276FD" w:rsidP="00A276FD">
      <w:pPr>
        <w:pStyle w:val="Heading2"/>
        <w:rPr>
          <w:b/>
          <w:bCs/>
          <w:lang w:val="en-GB"/>
        </w:rPr>
      </w:pPr>
      <w:r w:rsidRPr="00CC1714">
        <w:rPr>
          <w:b/>
          <w:bCs/>
          <w:lang w:val="en-GB"/>
        </w:rPr>
        <w:t>Disinformation</w:t>
      </w:r>
    </w:p>
    <w:p w14:paraId="05A05659" w14:textId="3F5841C4" w:rsidR="00A276FD" w:rsidRPr="00A45FE2" w:rsidRDefault="00A276FD" w:rsidP="00A276FD">
      <w:pPr>
        <w:rPr>
          <w:lang w:val="en-GB"/>
        </w:rPr>
      </w:pPr>
      <w:r w:rsidRPr="00A45FE2">
        <w:rPr>
          <w:lang w:val="en-GB"/>
        </w:rPr>
        <w:t xml:space="preserve">Safeguarding UE fundamental rights and values, countering the propaganda war ongoing in Ukraine, campaigning to involve civil society actors and raise awareness especially among young people, </w:t>
      </w:r>
      <w:r w:rsidR="00063D3B" w:rsidRPr="00A45FE2">
        <w:rPr>
          <w:lang w:val="en-GB"/>
        </w:rPr>
        <w:t xml:space="preserve">and </w:t>
      </w:r>
      <w:r w:rsidRPr="00A45FE2">
        <w:rPr>
          <w:lang w:val="en-GB"/>
        </w:rPr>
        <w:t xml:space="preserve">guaranteeing cybersecurity, are all issues of primary concern to EU citizens, </w:t>
      </w:r>
      <w:r w:rsidR="00063D3B" w:rsidRPr="00A45FE2">
        <w:rPr>
          <w:lang w:val="en-GB"/>
        </w:rPr>
        <w:t xml:space="preserve">particularly in the run-up to the 2024 </w:t>
      </w:r>
      <w:r w:rsidRPr="00A45FE2">
        <w:rPr>
          <w:lang w:val="en-GB"/>
        </w:rPr>
        <w:t>EU election</w:t>
      </w:r>
      <w:r w:rsidR="00063D3B" w:rsidRPr="00A45FE2">
        <w:rPr>
          <w:lang w:val="en-GB"/>
        </w:rPr>
        <w:t>s</w:t>
      </w:r>
      <w:r w:rsidRPr="00A45FE2">
        <w:rPr>
          <w:lang w:val="en-GB"/>
        </w:rPr>
        <w:t>. The EESC is contributing to these objectives with an own-initiative opinion on Safeguarding democracy against disinformation, a cross-cutting own</w:t>
      </w:r>
      <w:r w:rsidR="00063D3B" w:rsidRPr="00A45FE2">
        <w:rPr>
          <w:lang w:val="en-GB"/>
        </w:rPr>
        <w:noBreakHyphen/>
      </w:r>
      <w:r w:rsidRPr="00A45FE2">
        <w:rPr>
          <w:lang w:val="en-GB"/>
        </w:rPr>
        <w:t xml:space="preserve">initiative opinion led by the TEN section that also involves contributions from SOC and the </w:t>
      </w:r>
      <w:r w:rsidR="00063D3B" w:rsidRPr="00A45FE2">
        <w:rPr>
          <w:lang w:val="en-GB"/>
        </w:rPr>
        <w:t xml:space="preserve">EESC </w:t>
      </w:r>
      <w:r w:rsidRPr="00A45FE2">
        <w:rPr>
          <w:lang w:val="en-GB"/>
        </w:rPr>
        <w:t>Fundamental Rights Group.</w:t>
      </w:r>
    </w:p>
    <w:p w14:paraId="02DFAC1C" w14:textId="59DA5A87" w:rsidR="00A276FD" w:rsidRPr="00A45FE2" w:rsidRDefault="00A276FD" w:rsidP="00A276FD">
      <w:pPr>
        <w:rPr>
          <w:lang w:val="en-GB"/>
        </w:rPr>
      </w:pPr>
    </w:p>
    <w:p w14:paraId="28CFDB44" w14:textId="1E5C53E0" w:rsidR="00A276FD" w:rsidRPr="00CC1714" w:rsidRDefault="00A276FD" w:rsidP="00A276FD">
      <w:pPr>
        <w:pStyle w:val="Heading1"/>
        <w:rPr>
          <w:b/>
          <w:bCs/>
          <w:lang w:val="en-GB"/>
        </w:rPr>
      </w:pPr>
      <w:r w:rsidRPr="00CC1714">
        <w:rPr>
          <w:b/>
          <w:bCs/>
          <w:lang w:val="en-GB"/>
        </w:rPr>
        <w:t>COMMINICATION PRIORITIES</w:t>
      </w:r>
    </w:p>
    <w:p w14:paraId="570A8061" w14:textId="48EBF86F" w:rsidR="00A276FD" w:rsidRPr="00A45FE2" w:rsidRDefault="00A276FD" w:rsidP="00A276FD">
      <w:pPr>
        <w:rPr>
          <w:lang w:val="en-GB"/>
        </w:rPr>
      </w:pPr>
    </w:p>
    <w:p w14:paraId="51A194C7" w14:textId="37DFC316" w:rsidR="00A276FD" w:rsidRPr="00A45FE2" w:rsidRDefault="00A276FD" w:rsidP="00A276FD">
      <w:pPr>
        <w:overflowPunct w:val="0"/>
        <w:autoSpaceDE w:val="0"/>
        <w:autoSpaceDN w:val="0"/>
        <w:adjustRightInd w:val="0"/>
        <w:textAlignment w:val="baseline"/>
        <w:rPr>
          <w:lang w:val="en-GB"/>
        </w:rPr>
      </w:pPr>
      <w:r w:rsidRPr="00A45FE2">
        <w:rPr>
          <w:lang w:val="en-GB"/>
        </w:rPr>
        <w:t xml:space="preserve">In </w:t>
      </w:r>
      <w:r w:rsidR="00063D3B" w:rsidRPr="00A45FE2">
        <w:rPr>
          <w:lang w:val="en-GB"/>
        </w:rPr>
        <w:t>line</w:t>
      </w:r>
      <w:r w:rsidRPr="00A45FE2">
        <w:rPr>
          <w:lang w:val="en-GB"/>
        </w:rPr>
        <w:t xml:space="preserve"> with the EESC Communication Strategy, two main issues have been selected as priority subjects to benefit from enhanced communication activities:</w:t>
      </w:r>
    </w:p>
    <w:p w14:paraId="1FA68315" w14:textId="62DA6138" w:rsidR="00A276FD" w:rsidRPr="00A45FE2" w:rsidRDefault="00A276FD" w:rsidP="00A276FD">
      <w:pPr>
        <w:rPr>
          <w:lang w:val="en-GB"/>
        </w:rPr>
      </w:pPr>
    </w:p>
    <w:p w14:paraId="6ED07D21" w14:textId="1E4BF664" w:rsidR="00A276FD" w:rsidRPr="00CC1714" w:rsidRDefault="00A276FD" w:rsidP="00A276FD">
      <w:pPr>
        <w:pStyle w:val="Heading2"/>
        <w:rPr>
          <w:b/>
          <w:bCs/>
          <w:lang w:val="en-GB"/>
        </w:rPr>
      </w:pPr>
      <w:r w:rsidRPr="00CC1714">
        <w:rPr>
          <w:b/>
          <w:bCs/>
          <w:lang w:val="en-GB"/>
        </w:rPr>
        <w:t xml:space="preserve">Energy </w:t>
      </w:r>
      <w:r w:rsidR="00063D3B" w:rsidRPr="00A45FE2">
        <w:rPr>
          <w:b/>
          <w:bCs/>
          <w:lang w:val="en-GB"/>
        </w:rPr>
        <w:t>a</w:t>
      </w:r>
      <w:r w:rsidRPr="00CC1714">
        <w:rPr>
          <w:b/>
          <w:bCs/>
          <w:lang w:val="en-GB"/>
        </w:rPr>
        <w:t>ffordability</w:t>
      </w:r>
    </w:p>
    <w:p w14:paraId="38533890" w14:textId="523765B2" w:rsidR="00A276FD" w:rsidRPr="00A45FE2" w:rsidRDefault="00A276FD" w:rsidP="00A276FD">
      <w:pPr>
        <w:rPr>
          <w:color w:val="000000"/>
          <w:lang w:val="en-GB"/>
        </w:rPr>
      </w:pPr>
      <w:r w:rsidRPr="00A45FE2">
        <w:rPr>
          <w:color w:val="000000"/>
          <w:lang w:val="en-GB"/>
        </w:rPr>
        <w:t xml:space="preserve">After several years </w:t>
      </w:r>
      <w:r w:rsidR="00063D3B" w:rsidRPr="00A45FE2">
        <w:rPr>
          <w:color w:val="000000"/>
          <w:lang w:val="en-GB"/>
        </w:rPr>
        <w:t>of</w:t>
      </w:r>
      <w:r w:rsidRPr="00A45FE2">
        <w:rPr>
          <w:color w:val="000000"/>
          <w:lang w:val="en-GB"/>
        </w:rPr>
        <w:t xml:space="preserve"> fruitful EESC activities tackling the phenomenon of </w:t>
      </w:r>
      <w:r w:rsidR="00063D3B" w:rsidRPr="00A45FE2">
        <w:rPr>
          <w:color w:val="000000"/>
          <w:lang w:val="en-GB"/>
        </w:rPr>
        <w:t>e</w:t>
      </w:r>
      <w:r w:rsidRPr="00A45FE2">
        <w:rPr>
          <w:color w:val="000000"/>
          <w:lang w:val="en-GB"/>
        </w:rPr>
        <w:t xml:space="preserve">nergy </w:t>
      </w:r>
      <w:r w:rsidR="00063D3B" w:rsidRPr="00A45FE2">
        <w:rPr>
          <w:color w:val="000000"/>
          <w:lang w:val="en-GB"/>
        </w:rPr>
        <w:t>p</w:t>
      </w:r>
      <w:r w:rsidRPr="00A45FE2">
        <w:rPr>
          <w:color w:val="000000"/>
          <w:lang w:val="en-GB"/>
        </w:rPr>
        <w:t xml:space="preserve">overty, a consistent network of stakeholders and partners has been established and </w:t>
      </w:r>
      <w:r w:rsidR="00063D3B" w:rsidRPr="00A45FE2">
        <w:rPr>
          <w:color w:val="000000"/>
          <w:lang w:val="en-GB"/>
        </w:rPr>
        <w:t>is continuing to grow</w:t>
      </w:r>
      <w:r w:rsidRPr="00A45FE2">
        <w:rPr>
          <w:color w:val="000000"/>
          <w:lang w:val="en-GB"/>
        </w:rPr>
        <w:t>. The TEN section</w:t>
      </w:r>
      <w:r w:rsidR="00063D3B" w:rsidRPr="00A45FE2">
        <w:rPr>
          <w:color w:val="000000"/>
          <w:lang w:val="en-GB"/>
        </w:rPr>
        <w:t>'s</w:t>
      </w:r>
      <w:r w:rsidRPr="00A45FE2">
        <w:rPr>
          <w:color w:val="000000"/>
          <w:lang w:val="en-GB"/>
        </w:rPr>
        <w:t xml:space="preserve"> work, be it opinions or conferences, has now </w:t>
      </w:r>
      <w:r w:rsidR="00063D3B" w:rsidRPr="00A45FE2">
        <w:rPr>
          <w:color w:val="000000"/>
          <w:lang w:val="en-GB"/>
        </w:rPr>
        <w:t>had an</w:t>
      </w:r>
      <w:r w:rsidRPr="00A45FE2">
        <w:rPr>
          <w:color w:val="000000"/>
          <w:lang w:val="en-GB"/>
        </w:rPr>
        <w:t xml:space="preserve"> impact on this year's recommendations </w:t>
      </w:r>
      <w:r w:rsidR="00063D3B" w:rsidRPr="00A45FE2">
        <w:rPr>
          <w:color w:val="000000"/>
          <w:lang w:val="en-GB"/>
        </w:rPr>
        <w:t>from</w:t>
      </w:r>
      <w:r w:rsidRPr="00A45FE2">
        <w:rPr>
          <w:color w:val="000000"/>
          <w:lang w:val="en-GB"/>
        </w:rPr>
        <w:t xml:space="preserve"> the European Commission to the Member States on fighting energy poverty. </w:t>
      </w:r>
      <w:r w:rsidR="00063D3B" w:rsidRPr="00A45FE2">
        <w:rPr>
          <w:color w:val="000000"/>
          <w:lang w:val="en-GB"/>
        </w:rPr>
        <w:t>Pursuing</w:t>
      </w:r>
      <w:r w:rsidRPr="00A45FE2">
        <w:rPr>
          <w:color w:val="000000"/>
          <w:lang w:val="en-GB"/>
        </w:rPr>
        <w:t xml:space="preserve"> this work in 2024 will allow the </w:t>
      </w:r>
      <w:r w:rsidR="00063D3B" w:rsidRPr="00A45FE2">
        <w:rPr>
          <w:color w:val="000000"/>
          <w:lang w:val="en-GB"/>
        </w:rPr>
        <w:t>s</w:t>
      </w:r>
      <w:r w:rsidRPr="00A45FE2">
        <w:rPr>
          <w:color w:val="000000"/>
          <w:lang w:val="en-GB"/>
        </w:rPr>
        <w:t xml:space="preserve">ection to nurture those networks and institutional contacts so that further impact </w:t>
      </w:r>
      <w:r w:rsidR="00063D3B" w:rsidRPr="00A45FE2">
        <w:rPr>
          <w:color w:val="000000"/>
          <w:lang w:val="en-GB"/>
        </w:rPr>
        <w:t xml:space="preserve">can be had </w:t>
      </w:r>
      <w:r w:rsidRPr="00A45FE2">
        <w:rPr>
          <w:color w:val="000000"/>
          <w:lang w:val="en-GB"/>
        </w:rPr>
        <w:t>on those areas where our requests are not sufficiently taken into account</w:t>
      </w:r>
      <w:r w:rsidR="00063D3B" w:rsidRPr="00A45FE2">
        <w:rPr>
          <w:color w:val="000000"/>
          <w:lang w:val="en-GB"/>
        </w:rPr>
        <w:t>.</w:t>
      </w:r>
      <w:r w:rsidRPr="00A45FE2">
        <w:rPr>
          <w:color w:val="000000"/>
          <w:lang w:val="en-GB"/>
        </w:rPr>
        <w:t xml:space="preserve"> </w:t>
      </w:r>
      <w:r w:rsidR="00063D3B" w:rsidRPr="00A45FE2">
        <w:rPr>
          <w:color w:val="000000"/>
          <w:lang w:val="en-GB"/>
        </w:rPr>
        <w:t>It will also enable civil society to monitor how Member States actually implement these recommendations</w:t>
      </w:r>
      <w:r w:rsidRPr="00A45FE2">
        <w:rPr>
          <w:color w:val="000000"/>
          <w:lang w:val="en-GB"/>
        </w:rPr>
        <w:t>.</w:t>
      </w:r>
    </w:p>
    <w:p w14:paraId="6BADB032" w14:textId="77777777" w:rsidR="00A276FD" w:rsidRPr="00A45FE2" w:rsidRDefault="00A276FD" w:rsidP="00A276FD">
      <w:pPr>
        <w:rPr>
          <w:rFonts w:eastAsiaTheme="minorHAnsi"/>
          <w:color w:val="000000"/>
          <w:lang w:val="en-GB"/>
        </w:rPr>
      </w:pPr>
    </w:p>
    <w:p w14:paraId="014D5DBD" w14:textId="77777777" w:rsidR="00A276FD" w:rsidRPr="00A45FE2" w:rsidRDefault="00A276FD" w:rsidP="00A276FD">
      <w:pPr>
        <w:rPr>
          <w:color w:val="000000"/>
          <w:u w:val="single"/>
          <w:lang w:val="en-GB"/>
        </w:rPr>
      </w:pPr>
      <w:r w:rsidRPr="00A45FE2">
        <w:rPr>
          <w:color w:val="000000"/>
          <w:u w:val="single"/>
          <w:lang w:val="en-GB"/>
        </w:rPr>
        <w:t>Milestones:</w:t>
      </w:r>
    </w:p>
    <w:p w14:paraId="1011BA9C" w14:textId="789AC4EA" w:rsidR="00A276FD" w:rsidRPr="00A45FE2" w:rsidRDefault="00A276FD" w:rsidP="00A276FD">
      <w:pPr>
        <w:rPr>
          <w:color w:val="000000"/>
          <w:lang w:val="en-GB"/>
        </w:rPr>
      </w:pPr>
      <w:r w:rsidRPr="00A45FE2">
        <w:rPr>
          <w:color w:val="000000"/>
          <w:lang w:val="en-GB"/>
        </w:rPr>
        <w:t xml:space="preserve">Among the </w:t>
      </w:r>
      <w:r w:rsidR="00063D3B" w:rsidRPr="00A45FE2">
        <w:rPr>
          <w:color w:val="000000"/>
          <w:lang w:val="en-GB"/>
        </w:rPr>
        <w:t>numerous</w:t>
      </w:r>
      <w:r w:rsidRPr="00A45FE2">
        <w:rPr>
          <w:color w:val="000000"/>
          <w:lang w:val="en-GB"/>
        </w:rPr>
        <w:t xml:space="preserve"> TEN activities, the following will be part of this communication priority, promoting renewable energies and other effective measure to achieve strategic autonomy in energy supply and affordable energy </w:t>
      </w:r>
      <w:r w:rsidR="00063D3B" w:rsidRPr="00A45FE2">
        <w:rPr>
          <w:color w:val="000000"/>
          <w:lang w:val="en-GB"/>
        </w:rPr>
        <w:t>for</w:t>
      </w:r>
      <w:r w:rsidRPr="00A45FE2">
        <w:rPr>
          <w:color w:val="000000"/>
          <w:lang w:val="en-GB"/>
        </w:rPr>
        <w:t xml:space="preserve"> all:</w:t>
      </w:r>
    </w:p>
    <w:p w14:paraId="1330A6D4" w14:textId="77777777" w:rsidR="00A276FD" w:rsidRPr="00A45FE2" w:rsidRDefault="00A276FD" w:rsidP="00A276FD">
      <w:pPr>
        <w:pStyle w:val="ListParagraph"/>
        <w:spacing w:line="252" w:lineRule="auto"/>
        <w:rPr>
          <w:color w:val="000000"/>
          <w:lang w:val="en-GB"/>
        </w:rPr>
      </w:pPr>
    </w:p>
    <w:p w14:paraId="4C7CBBD0" w14:textId="4D29874C" w:rsidR="00A276FD" w:rsidRPr="00A45FE2" w:rsidRDefault="00063D3B" w:rsidP="00A276FD">
      <w:pPr>
        <w:pStyle w:val="ListParagraph"/>
        <w:numPr>
          <w:ilvl w:val="0"/>
          <w:numId w:val="4"/>
        </w:numPr>
        <w:spacing w:line="252" w:lineRule="auto"/>
        <w:contextualSpacing w:val="0"/>
        <w:rPr>
          <w:color w:val="000000"/>
          <w:lang w:val="en-GB"/>
        </w:rPr>
      </w:pPr>
      <w:r w:rsidRPr="00A45FE2">
        <w:rPr>
          <w:color w:val="000000"/>
          <w:lang w:val="en-GB"/>
        </w:rPr>
        <w:t>a c</w:t>
      </w:r>
      <w:r w:rsidR="00A276FD" w:rsidRPr="00A45FE2">
        <w:rPr>
          <w:color w:val="000000"/>
          <w:lang w:val="en-GB"/>
        </w:rPr>
        <w:t>onference on housing in February</w:t>
      </w:r>
      <w:r w:rsidR="00497108" w:rsidRPr="00A45FE2">
        <w:rPr>
          <w:color w:val="000000"/>
          <w:lang w:val="en-GB"/>
        </w:rPr>
        <w:t>;</w:t>
      </w:r>
    </w:p>
    <w:p w14:paraId="683E03DF" w14:textId="4D384513" w:rsidR="00A276FD" w:rsidRPr="00A45FE2" w:rsidRDefault="00063D3B" w:rsidP="00A276FD">
      <w:pPr>
        <w:pStyle w:val="ListParagraph"/>
        <w:numPr>
          <w:ilvl w:val="0"/>
          <w:numId w:val="4"/>
        </w:numPr>
        <w:spacing w:line="252" w:lineRule="auto"/>
        <w:contextualSpacing w:val="0"/>
        <w:rPr>
          <w:color w:val="000000"/>
          <w:lang w:val="en-GB"/>
        </w:rPr>
      </w:pPr>
      <w:r w:rsidRPr="00A45FE2">
        <w:rPr>
          <w:color w:val="000000"/>
          <w:lang w:val="en-GB"/>
        </w:rPr>
        <w:t xml:space="preserve">an opinion on the </w:t>
      </w:r>
      <w:r w:rsidR="00A276FD" w:rsidRPr="00A45FE2">
        <w:rPr>
          <w:color w:val="000000"/>
          <w:lang w:val="en-GB"/>
        </w:rPr>
        <w:t>Wind Power Package in March</w:t>
      </w:r>
      <w:r w:rsidR="00497108" w:rsidRPr="00A45FE2">
        <w:rPr>
          <w:color w:val="000000"/>
          <w:lang w:val="en-GB"/>
        </w:rPr>
        <w:t>;</w:t>
      </w:r>
      <w:r w:rsidR="00A276FD" w:rsidRPr="00A45FE2">
        <w:rPr>
          <w:color w:val="000000"/>
          <w:lang w:val="en-GB"/>
        </w:rPr>
        <w:t xml:space="preserve"> </w:t>
      </w:r>
    </w:p>
    <w:p w14:paraId="2E277A59" w14:textId="6EEEB916" w:rsidR="00A276FD" w:rsidRPr="00A45FE2" w:rsidRDefault="00063D3B" w:rsidP="00A276FD">
      <w:pPr>
        <w:pStyle w:val="ListParagraph"/>
        <w:numPr>
          <w:ilvl w:val="0"/>
          <w:numId w:val="4"/>
        </w:numPr>
        <w:spacing w:line="252" w:lineRule="auto"/>
        <w:contextualSpacing w:val="0"/>
        <w:rPr>
          <w:color w:val="000000"/>
          <w:lang w:val="en-GB"/>
        </w:rPr>
      </w:pPr>
      <w:r w:rsidRPr="00A45FE2">
        <w:rPr>
          <w:color w:val="000000"/>
          <w:lang w:val="en-GB"/>
        </w:rPr>
        <w:t>c</w:t>
      </w:r>
      <w:r w:rsidR="00A276FD" w:rsidRPr="00A45FE2">
        <w:rPr>
          <w:color w:val="000000"/>
          <w:lang w:val="en-GB"/>
        </w:rPr>
        <w:t xml:space="preserve">ross-border energy infrastructure planning (exploratory opinion </w:t>
      </w:r>
      <w:r w:rsidRPr="00A45FE2">
        <w:rPr>
          <w:color w:val="000000"/>
          <w:lang w:val="en-GB"/>
        </w:rPr>
        <w:t>requested by</w:t>
      </w:r>
      <w:r w:rsidR="00A276FD" w:rsidRPr="00A45FE2">
        <w:rPr>
          <w:color w:val="000000"/>
          <w:lang w:val="en-GB"/>
        </w:rPr>
        <w:t xml:space="preserve"> the Belgian Presidency)</w:t>
      </w:r>
      <w:r w:rsidR="00497108" w:rsidRPr="00A45FE2">
        <w:rPr>
          <w:color w:val="000000"/>
          <w:lang w:val="en-GB"/>
        </w:rPr>
        <w:t>;</w:t>
      </w:r>
    </w:p>
    <w:p w14:paraId="3B8D773B" w14:textId="3607F4FC" w:rsidR="00A276FD" w:rsidRPr="00A45FE2" w:rsidRDefault="00063D3B" w:rsidP="00A276FD">
      <w:pPr>
        <w:pStyle w:val="ListParagraph"/>
        <w:numPr>
          <w:ilvl w:val="0"/>
          <w:numId w:val="4"/>
        </w:numPr>
        <w:spacing w:line="252" w:lineRule="auto"/>
        <w:contextualSpacing w:val="0"/>
        <w:rPr>
          <w:color w:val="000000"/>
          <w:lang w:val="en-GB"/>
        </w:rPr>
      </w:pPr>
      <w:r w:rsidRPr="00A45FE2">
        <w:rPr>
          <w:color w:val="000000"/>
          <w:lang w:val="en-GB"/>
        </w:rPr>
        <w:t>a s</w:t>
      </w:r>
      <w:r w:rsidR="00A276FD" w:rsidRPr="00A45FE2">
        <w:rPr>
          <w:color w:val="000000"/>
          <w:lang w:val="en-GB"/>
        </w:rPr>
        <w:t xml:space="preserve">ide event </w:t>
      </w:r>
      <w:r w:rsidRPr="00A45FE2">
        <w:rPr>
          <w:color w:val="000000"/>
          <w:lang w:val="en-GB"/>
        </w:rPr>
        <w:t>at</w:t>
      </w:r>
      <w:r w:rsidR="00A276FD" w:rsidRPr="00A45FE2">
        <w:rPr>
          <w:color w:val="000000"/>
          <w:lang w:val="en-GB"/>
        </w:rPr>
        <w:t xml:space="preserve"> the International Transport Forum on green transport in May</w:t>
      </w:r>
      <w:r w:rsidR="00497108" w:rsidRPr="00A45FE2">
        <w:rPr>
          <w:color w:val="000000"/>
          <w:lang w:val="en-GB"/>
        </w:rPr>
        <w:t>;</w:t>
      </w:r>
    </w:p>
    <w:p w14:paraId="3D23F68A" w14:textId="54B9C0F5" w:rsidR="00A276FD" w:rsidRPr="00A45FE2" w:rsidRDefault="00063D3B" w:rsidP="00A276FD">
      <w:pPr>
        <w:pStyle w:val="ListParagraph"/>
        <w:numPr>
          <w:ilvl w:val="0"/>
          <w:numId w:val="4"/>
        </w:numPr>
        <w:spacing w:line="252" w:lineRule="auto"/>
        <w:contextualSpacing w:val="0"/>
        <w:rPr>
          <w:color w:val="000000"/>
          <w:lang w:val="en-GB"/>
        </w:rPr>
      </w:pPr>
      <w:r w:rsidRPr="00A45FE2">
        <w:rPr>
          <w:color w:val="000000"/>
          <w:lang w:val="en-GB"/>
        </w:rPr>
        <w:t>e</w:t>
      </w:r>
      <w:r w:rsidR="00A276FD" w:rsidRPr="00A45FE2">
        <w:rPr>
          <w:color w:val="000000"/>
          <w:lang w:val="en-GB"/>
        </w:rPr>
        <w:t>nergy affordability conference in June</w:t>
      </w:r>
      <w:r w:rsidR="00497108" w:rsidRPr="00A45FE2">
        <w:rPr>
          <w:color w:val="000000"/>
          <w:lang w:val="en-GB"/>
        </w:rPr>
        <w:t>;</w:t>
      </w:r>
    </w:p>
    <w:p w14:paraId="27B5D963" w14:textId="752C648C" w:rsidR="00A276FD" w:rsidRPr="00A45FE2" w:rsidRDefault="00063D3B" w:rsidP="00A276FD">
      <w:pPr>
        <w:pStyle w:val="ListParagraph"/>
        <w:numPr>
          <w:ilvl w:val="0"/>
          <w:numId w:val="4"/>
        </w:numPr>
        <w:spacing w:line="252" w:lineRule="auto"/>
        <w:contextualSpacing w:val="0"/>
        <w:rPr>
          <w:color w:val="000000"/>
          <w:lang w:val="en-GB"/>
        </w:rPr>
      </w:pPr>
      <w:r w:rsidRPr="00A45FE2">
        <w:rPr>
          <w:color w:val="000000"/>
          <w:lang w:val="en-GB"/>
        </w:rPr>
        <w:t>a</w:t>
      </w:r>
      <w:r w:rsidR="00A276FD" w:rsidRPr="00A45FE2">
        <w:rPr>
          <w:color w:val="000000"/>
          <w:lang w:val="en-GB"/>
        </w:rPr>
        <w:t>n own-initiative opinion on Hydrogen - infrastructure, development needs, financing, use and limits</w:t>
      </w:r>
      <w:r w:rsidR="00497108" w:rsidRPr="00A45FE2">
        <w:rPr>
          <w:color w:val="000000"/>
          <w:lang w:val="en-GB"/>
        </w:rPr>
        <w:t>;</w:t>
      </w:r>
    </w:p>
    <w:p w14:paraId="066168DC" w14:textId="431A3E21" w:rsidR="00A276FD" w:rsidRPr="00A45FE2" w:rsidRDefault="00063D3B" w:rsidP="00A276FD">
      <w:pPr>
        <w:pStyle w:val="ListParagraph"/>
        <w:numPr>
          <w:ilvl w:val="0"/>
          <w:numId w:val="4"/>
        </w:numPr>
        <w:spacing w:line="252" w:lineRule="auto"/>
        <w:contextualSpacing w:val="0"/>
        <w:rPr>
          <w:color w:val="000000"/>
          <w:lang w:val="en-GB"/>
        </w:rPr>
      </w:pPr>
      <w:r w:rsidRPr="00A45FE2">
        <w:rPr>
          <w:color w:val="000000"/>
          <w:lang w:val="en-GB"/>
        </w:rPr>
        <w:t>a</w:t>
      </w:r>
      <w:r w:rsidR="00A276FD" w:rsidRPr="00A45FE2">
        <w:rPr>
          <w:color w:val="000000"/>
          <w:lang w:val="en-GB"/>
        </w:rPr>
        <w:t xml:space="preserve"> conference on hydrogen in October</w:t>
      </w:r>
      <w:r w:rsidR="00497108" w:rsidRPr="00A45FE2">
        <w:rPr>
          <w:color w:val="000000"/>
          <w:lang w:val="en-GB"/>
        </w:rPr>
        <w:t>.</w:t>
      </w:r>
    </w:p>
    <w:p w14:paraId="77E1B276" w14:textId="5D13F80B" w:rsidR="00A276FD" w:rsidRPr="00A45FE2" w:rsidRDefault="00A276FD" w:rsidP="00A276FD">
      <w:pPr>
        <w:rPr>
          <w:lang w:val="en-GB"/>
        </w:rPr>
      </w:pPr>
    </w:p>
    <w:p w14:paraId="621FAEC3" w14:textId="35D9225B" w:rsidR="00A276FD" w:rsidRPr="00CC1714" w:rsidRDefault="00A276FD" w:rsidP="00CC1714">
      <w:pPr>
        <w:pStyle w:val="Heading2"/>
        <w:keepNext/>
        <w:rPr>
          <w:b/>
          <w:bCs/>
          <w:i/>
          <w:iCs/>
          <w:lang w:val="en-GB"/>
        </w:rPr>
      </w:pPr>
      <w:r w:rsidRPr="00CC1714">
        <w:rPr>
          <w:b/>
          <w:bCs/>
          <w:i/>
          <w:iCs/>
          <w:lang w:val="en-GB"/>
        </w:rPr>
        <w:t>Disinformation</w:t>
      </w:r>
    </w:p>
    <w:p w14:paraId="5A79513E" w14:textId="64A4D504" w:rsidR="00A276FD" w:rsidRPr="00A45FE2" w:rsidRDefault="00A276FD" w:rsidP="00A276FD">
      <w:pPr>
        <w:rPr>
          <w:color w:val="000000"/>
          <w:lang w:val="en-GB"/>
        </w:rPr>
      </w:pPr>
      <w:r w:rsidRPr="00A45FE2">
        <w:rPr>
          <w:color w:val="000000"/>
          <w:lang w:val="en-GB"/>
        </w:rPr>
        <w:t xml:space="preserve">The TEN </w:t>
      </w:r>
      <w:r w:rsidR="00063D3B" w:rsidRPr="00A45FE2">
        <w:rPr>
          <w:color w:val="000000"/>
          <w:lang w:val="en-GB"/>
        </w:rPr>
        <w:t>s</w:t>
      </w:r>
      <w:r w:rsidRPr="00A45FE2">
        <w:rPr>
          <w:color w:val="000000"/>
          <w:lang w:val="en-GB"/>
        </w:rPr>
        <w:t>ection</w:t>
      </w:r>
      <w:r w:rsidR="00063D3B" w:rsidRPr="00A45FE2">
        <w:rPr>
          <w:color w:val="000000"/>
          <w:lang w:val="en-GB"/>
        </w:rPr>
        <w:t>'s</w:t>
      </w:r>
      <w:r w:rsidRPr="00A45FE2">
        <w:rPr>
          <w:color w:val="000000"/>
          <w:lang w:val="en-GB"/>
        </w:rPr>
        <w:t xml:space="preserve"> strategic own</w:t>
      </w:r>
      <w:r w:rsidR="00497108" w:rsidRPr="00A45FE2">
        <w:rPr>
          <w:color w:val="000000"/>
          <w:lang w:val="en-GB"/>
        </w:rPr>
        <w:t>-</w:t>
      </w:r>
      <w:r w:rsidRPr="00A45FE2">
        <w:rPr>
          <w:color w:val="000000"/>
          <w:lang w:val="en-GB"/>
        </w:rPr>
        <w:t xml:space="preserve">initiative opinion on this subject will enhance the image and the profile of the EESC in the fight against disinformation. </w:t>
      </w:r>
    </w:p>
    <w:p w14:paraId="7B2EABF5" w14:textId="77777777" w:rsidR="00A276FD" w:rsidRPr="00A45FE2" w:rsidRDefault="00A276FD" w:rsidP="00A276FD">
      <w:pPr>
        <w:rPr>
          <w:b/>
          <w:bCs/>
          <w:color w:val="000000"/>
          <w:lang w:val="en-GB"/>
        </w:rPr>
      </w:pPr>
    </w:p>
    <w:p w14:paraId="4887E08C" w14:textId="77777777" w:rsidR="00A276FD" w:rsidRPr="00A45FE2" w:rsidRDefault="00A276FD" w:rsidP="00A276FD">
      <w:pPr>
        <w:rPr>
          <w:color w:val="000000"/>
          <w:u w:val="single"/>
          <w:lang w:val="en-GB"/>
        </w:rPr>
      </w:pPr>
      <w:r w:rsidRPr="00A45FE2">
        <w:rPr>
          <w:color w:val="000000"/>
          <w:u w:val="single"/>
          <w:lang w:val="en-GB"/>
        </w:rPr>
        <w:t>Milestones:</w:t>
      </w:r>
    </w:p>
    <w:p w14:paraId="1FBE2F28" w14:textId="48BCB140" w:rsidR="00A276FD" w:rsidRPr="00A45FE2" w:rsidRDefault="00497108" w:rsidP="00A276FD">
      <w:pPr>
        <w:pStyle w:val="ListParagraph"/>
        <w:numPr>
          <w:ilvl w:val="0"/>
          <w:numId w:val="4"/>
        </w:numPr>
        <w:spacing w:line="252" w:lineRule="auto"/>
        <w:contextualSpacing w:val="0"/>
        <w:rPr>
          <w:color w:val="000000"/>
          <w:lang w:val="en-GB"/>
        </w:rPr>
      </w:pPr>
      <w:r w:rsidRPr="00A45FE2">
        <w:rPr>
          <w:color w:val="000000"/>
          <w:lang w:val="en-GB"/>
        </w:rPr>
        <w:t>d</w:t>
      </w:r>
      <w:r w:rsidR="00A276FD" w:rsidRPr="00A45FE2">
        <w:rPr>
          <w:color w:val="000000"/>
          <w:lang w:val="en-GB"/>
        </w:rPr>
        <w:t xml:space="preserve">eliver the strategic own initiative opinion on this subject by </w:t>
      </w:r>
      <w:r w:rsidRPr="00A45FE2">
        <w:rPr>
          <w:color w:val="000000"/>
          <w:lang w:val="en-GB"/>
        </w:rPr>
        <w:t>s</w:t>
      </w:r>
      <w:r w:rsidR="00A276FD" w:rsidRPr="00A45FE2">
        <w:rPr>
          <w:color w:val="000000"/>
          <w:lang w:val="en-GB"/>
        </w:rPr>
        <w:t xml:space="preserve">pring 2024. The opinion </w:t>
      </w:r>
      <w:r w:rsidRPr="00A45FE2">
        <w:rPr>
          <w:color w:val="000000"/>
          <w:lang w:val="en-GB"/>
        </w:rPr>
        <w:t>will</w:t>
      </w:r>
      <w:r w:rsidR="00A276FD" w:rsidRPr="00A45FE2">
        <w:rPr>
          <w:color w:val="000000"/>
          <w:lang w:val="en-GB"/>
        </w:rPr>
        <w:t xml:space="preserve"> gather </w:t>
      </w:r>
      <w:r w:rsidRPr="00A45FE2">
        <w:rPr>
          <w:color w:val="000000"/>
          <w:lang w:val="en-GB"/>
        </w:rPr>
        <w:t>input from</w:t>
      </w:r>
      <w:r w:rsidR="00A276FD" w:rsidRPr="00A45FE2">
        <w:rPr>
          <w:color w:val="000000"/>
          <w:lang w:val="en-GB"/>
        </w:rPr>
        <w:t xml:space="preserve"> SOC, INT, REX, as well as the Fundamental Rights Group, the Liaison Group and youth organisations</w:t>
      </w:r>
      <w:r w:rsidRPr="00A45FE2">
        <w:rPr>
          <w:color w:val="000000"/>
          <w:lang w:val="en-GB"/>
        </w:rPr>
        <w:t>;</w:t>
      </w:r>
    </w:p>
    <w:p w14:paraId="5E23D245" w14:textId="4581217D" w:rsidR="00A276FD" w:rsidRPr="00A45FE2" w:rsidRDefault="00497108" w:rsidP="00A276FD">
      <w:pPr>
        <w:pStyle w:val="ListParagraph"/>
        <w:numPr>
          <w:ilvl w:val="0"/>
          <w:numId w:val="4"/>
        </w:numPr>
        <w:spacing w:line="252" w:lineRule="auto"/>
        <w:contextualSpacing w:val="0"/>
        <w:rPr>
          <w:color w:val="000000"/>
          <w:lang w:val="en-GB"/>
        </w:rPr>
      </w:pPr>
      <w:r w:rsidRPr="00A45FE2">
        <w:rPr>
          <w:color w:val="000000"/>
          <w:lang w:val="en-GB"/>
        </w:rPr>
        <w:t>t</w:t>
      </w:r>
      <w:r w:rsidR="00A276FD" w:rsidRPr="00A45FE2">
        <w:rPr>
          <w:color w:val="000000"/>
          <w:lang w:val="en-GB"/>
        </w:rPr>
        <w:t xml:space="preserve">he opinion's conclusions and recommendations will be </w:t>
      </w:r>
      <w:r w:rsidRPr="00A45FE2">
        <w:rPr>
          <w:color w:val="000000"/>
          <w:lang w:val="en-GB"/>
        </w:rPr>
        <w:t>sent</w:t>
      </w:r>
      <w:r w:rsidR="00A276FD" w:rsidRPr="00A45FE2">
        <w:rPr>
          <w:color w:val="000000"/>
          <w:lang w:val="en-GB"/>
        </w:rPr>
        <w:t xml:space="preserve"> to the other EU institutions (in particular Members of the European Parliament) </w:t>
      </w:r>
      <w:r w:rsidRPr="00A45FE2">
        <w:rPr>
          <w:color w:val="000000"/>
          <w:lang w:val="en-GB"/>
        </w:rPr>
        <w:t>and to</w:t>
      </w:r>
      <w:r w:rsidR="00A276FD" w:rsidRPr="00A45FE2">
        <w:rPr>
          <w:color w:val="000000"/>
          <w:lang w:val="en-GB"/>
        </w:rPr>
        <w:t xml:space="preserve"> the wider public.</w:t>
      </w:r>
    </w:p>
    <w:p w14:paraId="6607CD74" w14:textId="77777777" w:rsidR="00A276FD" w:rsidRPr="00A45FE2" w:rsidRDefault="00A276FD" w:rsidP="00A276FD">
      <w:pPr>
        <w:rPr>
          <w:lang w:val="en-GB"/>
        </w:rPr>
      </w:pPr>
    </w:p>
    <w:p w14:paraId="1CD38D63" w14:textId="77777777" w:rsidR="009F46EB" w:rsidRPr="00A45FE2" w:rsidRDefault="009F46EB" w:rsidP="00832366">
      <w:pPr>
        <w:rPr>
          <w:lang w:val="en-GB"/>
        </w:rPr>
      </w:pPr>
    </w:p>
    <w:p w14:paraId="4F7CB45E" w14:textId="1F4BE46C" w:rsidR="00757ECF" w:rsidRPr="00A45FE2" w:rsidRDefault="00805F4D" w:rsidP="00953339">
      <w:pPr>
        <w:overflowPunct w:val="0"/>
        <w:autoSpaceDE w:val="0"/>
        <w:autoSpaceDN w:val="0"/>
        <w:adjustRightInd w:val="0"/>
        <w:jc w:val="center"/>
        <w:textAlignment w:val="baseline"/>
        <w:rPr>
          <w:lang w:val="en-GB"/>
        </w:rPr>
      </w:pPr>
      <w:r w:rsidRPr="00A45FE2">
        <w:rPr>
          <w:lang w:val="en-GB"/>
        </w:rPr>
        <w:t>_____________</w:t>
      </w:r>
    </w:p>
    <w:sectPr w:rsidR="00757ECF" w:rsidRPr="00A45FE2" w:rsidSect="00514FD0">
      <w:footerReference w:type="default" r:id="rId12"/>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F314" w14:textId="77777777" w:rsidR="003242FB" w:rsidRDefault="003242FB" w:rsidP="00171371">
      <w:pPr>
        <w:spacing w:line="240" w:lineRule="auto"/>
      </w:pPr>
      <w:r>
        <w:separator/>
      </w:r>
    </w:p>
  </w:endnote>
  <w:endnote w:type="continuationSeparator" w:id="0">
    <w:p w14:paraId="213D277F" w14:textId="77777777" w:rsidR="003242FB" w:rsidRDefault="003242FB" w:rsidP="00171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06A0" w14:textId="1563F50B" w:rsidR="00571102" w:rsidRPr="00514FD0" w:rsidRDefault="00514FD0" w:rsidP="00514FD0">
    <w:pPr>
      <w:pStyle w:val="Footer"/>
    </w:pPr>
    <w:r>
      <w:fldChar w:fldCharType="begin"/>
    </w:r>
    <w:r>
      <w:instrText xml:space="preserve"> PAGE  \* Arabic  \* MERGEFORMAT </w:instrText>
    </w:r>
    <w:r>
      <w:fldChar w:fldCharType="separate"/>
    </w:r>
    <w:r w:rsidR="00ED2A35">
      <w:rPr>
        <w:noProof/>
      </w:rPr>
      <w:t>1</w:t>
    </w:r>
    <w:r>
      <w:fldChar w:fldCharType="end"/>
    </w:r>
    <w:r>
      <w:t>/</w:t>
    </w:r>
    <w:r>
      <w:fldChar w:fldCharType="begin"/>
    </w:r>
    <w:r>
      <w:instrText xml:space="preserve"> NUMPAGES </w:instrText>
    </w:r>
    <w:r>
      <w:fldChar w:fldCharType="separate"/>
    </w:r>
    <w:r w:rsidR="00ED2A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772D" w14:textId="77777777" w:rsidR="003242FB" w:rsidRDefault="003242FB" w:rsidP="00171371">
      <w:pPr>
        <w:spacing w:line="240" w:lineRule="auto"/>
      </w:pPr>
      <w:r>
        <w:separator/>
      </w:r>
    </w:p>
  </w:footnote>
  <w:footnote w:type="continuationSeparator" w:id="0">
    <w:p w14:paraId="02C230E5" w14:textId="77777777" w:rsidR="003242FB" w:rsidRDefault="003242FB" w:rsidP="00171371">
      <w:pPr>
        <w:spacing w:line="240" w:lineRule="auto"/>
      </w:pPr>
      <w:r>
        <w:continuationSeparator/>
      </w:r>
    </w:p>
  </w:footnote>
</w:footnotes>
</file>

<file path=word/intelligence2.xml><?xml version="1.0" encoding="utf-8"?>
<int2:intelligence xmlns:int2="http://schemas.microsoft.com/office/intelligence/2020/intelligence">
  <int2:observations>
    <int2:bookmark int2:bookmarkName="_Int_82gnLJa1" int2:invalidationBookmarkName="" int2:hashCode="rF2Ev65yapbMQZ" int2:id="1JEJGsz9"/>
    <int2:bookmark int2:bookmarkName="_Int_278XvRie" int2:invalidationBookmarkName="" int2:hashCode="llbS/j5qYzCVpv" int2:id="0GxbcjJ3"/>
    <int2:bookmark int2:bookmarkName="_Int_20OJFbfR" int2:invalidationBookmarkName="" int2:hashCode="JUUQ5guXkY/ZtU" int2:id="iZt3NTTC"/>
    <int2:bookmark int2:bookmarkName="_Int_ayhMFPHo" int2:invalidationBookmarkName="" int2:hashCode="y+6iZ9B3PcV//L" int2:id="0gkHrFY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B9286F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iCs/>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F255D0"/>
    <w:multiLevelType w:val="hybridMultilevel"/>
    <w:tmpl w:val="BCC2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6172BA"/>
    <w:multiLevelType w:val="hybridMultilevel"/>
    <w:tmpl w:val="541E5D5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0E1CCA"/>
    <w:multiLevelType w:val="hybridMultilevel"/>
    <w:tmpl w:val="2F46E42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nl-B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86"/>
    <w:rsid w:val="000008F8"/>
    <w:rsid w:val="00000AE8"/>
    <w:rsid w:val="00000DC0"/>
    <w:rsid w:val="00022354"/>
    <w:rsid w:val="00023669"/>
    <w:rsid w:val="00030D15"/>
    <w:rsid w:val="00031A0A"/>
    <w:rsid w:val="00042013"/>
    <w:rsid w:val="00050D6A"/>
    <w:rsid w:val="00063D3B"/>
    <w:rsid w:val="000819E6"/>
    <w:rsid w:val="00084033"/>
    <w:rsid w:val="00097CB9"/>
    <w:rsid w:val="000B1766"/>
    <w:rsid w:val="000C58E5"/>
    <w:rsid w:val="000D7652"/>
    <w:rsid w:val="000F12BC"/>
    <w:rsid w:val="00102235"/>
    <w:rsid w:val="00107EFA"/>
    <w:rsid w:val="0012224D"/>
    <w:rsid w:val="001247CD"/>
    <w:rsid w:val="00142B7A"/>
    <w:rsid w:val="00146F5E"/>
    <w:rsid w:val="00151184"/>
    <w:rsid w:val="00171371"/>
    <w:rsid w:val="00184E9C"/>
    <w:rsid w:val="00195B04"/>
    <w:rsid w:val="001B704B"/>
    <w:rsid w:val="001D5056"/>
    <w:rsid w:val="001E5B58"/>
    <w:rsid w:val="002021AF"/>
    <w:rsid w:val="0020475D"/>
    <w:rsid w:val="00216706"/>
    <w:rsid w:val="00223C7F"/>
    <w:rsid w:val="002240B6"/>
    <w:rsid w:val="00233331"/>
    <w:rsid w:val="00242AED"/>
    <w:rsid w:val="002459A3"/>
    <w:rsid w:val="00253B19"/>
    <w:rsid w:val="00265563"/>
    <w:rsid w:val="00281518"/>
    <w:rsid w:val="00287CF7"/>
    <w:rsid w:val="0029417E"/>
    <w:rsid w:val="00295A60"/>
    <w:rsid w:val="00296B70"/>
    <w:rsid w:val="002A7B5E"/>
    <w:rsid w:val="002E2ADC"/>
    <w:rsid w:val="002F0A1F"/>
    <w:rsid w:val="003032E5"/>
    <w:rsid w:val="003242FB"/>
    <w:rsid w:val="00337BA7"/>
    <w:rsid w:val="00340ECC"/>
    <w:rsid w:val="00344456"/>
    <w:rsid w:val="00350E2C"/>
    <w:rsid w:val="0036213E"/>
    <w:rsid w:val="00366677"/>
    <w:rsid w:val="00366C5E"/>
    <w:rsid w:val="003708B5"/>
    <w:rsid w:val="003745EC"/>
    <w:rsid w:val="003779B8"/>
    <w:rsid w:val="004078EC"/>
    <w:rsid w:val="0041FB93"/>
    <w:rsid w:val="004239E6"/>
    <w:rsid w:val="00440715"/>
    <w:rsid w:val="00442694"/>
    <w:rsid w:val="00467C0E"/>
    <w:rsid w:val="004731E8"/>
    <w:rsid w:val="00483745"/>
    <w:rsid w:val="00485CB2"/>
    <w:rsid w:val="00497108"/>
    <w:rsid w:val="004B2B80"/>
    <w:rsid w:val="004C774E"/>
    <w:rsid w:val="004D00E2"/>
    <w:rsid w:val="004D3712"/>
    <w:rsid w:val="004D3E0E"/>
    <w:rsid w:val="004D6C5F"/>
    <w:rsid w:val="004E41C1"/>
    <w:rsid w:val="004E4ACE"/>
    <w:rsid w:val="004F128F"/>
    <w:rsid w:val="004F6336"/>
    <w:rsid w:val="004FFBC9"/>
    <w:rsid w:val="005100BD"/>
    <w:rsid w:val="0051217A"/>
    <w:rsid w:val="00514FD0"/>
    <w:rsid w:val="00520B31"/>
    <w:rsid w:val="00524A9D"/>
    <w:rsid w:val="005317A5"/>
    <w:rsid w:val="00571102"/>
    <w:rsid w:val="005814E5"/>
    <w:rsid w:val="00592D75"/>
    <w:rsid w:val="005937D5"/>
    <w:rsid w:val="005A1823"/>
    <w:rsid w:val="005C3DE3"/>
    <w:rsid w:val="005E4C31"/>
    <w:rsid w:val="005F01E6"/>
    <w:rsid w:val="006063BF"/>
    <w:rsid w:val="00625AC5"/>
    <w:rsid w:val="00627DCF"/>
    <w:rsid w:val="006329ED"/>
    <w:rsid w:val="00634D87"/>
    <w:rsid w:val="00655646"/>
    <w:rsid w:val="00696895"/>
    <w:rsid w:val="006A2ED8"/>
    <w:rsid w:val="006F3E9E"/>
    <w:rsid w:val="006F3FC5"/>
    <w:rsid w:val="00700472"/>
    <w:rsid w:val="00735A30"/>
    <w:rsid w:val="00737E03"/>
    <w:rsid w:val="00741F23"/>
    <w:rsid w:val="00757ECF"/>
    <w:rsid w:val="007607E7"/>
    <w:rsid w:val="0077574E"/>
    <w:rsid w:val="007809EC"/>
    <w:rsid w:val="007840C1"/>
    <w:rsid w:val="0079472E"/>
    <w:rsid w:val="00795DFA"/>
    <w:rsid w:val="007A03D9"/>
    <w:rsid w:val="007A2CD0"/>
    <w:rsid w:val="007A6942"/>
    <w:rsid w:val="007B5925"/>
    <w:rsid w:val="007F778A"/>
    <w:rsid w:val="00805F4D"/>
    <w:rsid w:val="00806323"/>
    <w:rsid w:val="00806A12"/>
    <w:rsid w:val="00832366"/>
    <w:rsid w:val="0085086D"/>
    <w:rsid w:val="00857FCC"/>
    <w:rsid w:val="00871399"/>
    <w:rsid w:val="0087287E"/>
    <w:rsid w:val="00890719"/>
    <w:rsid w:val="008B07D5"/>
    <w:rsid w:val="008B201F"/>
    <w:rsid w:val="008B5349"/>
    <w:rsid w:val="008D3D96"/>
    <w:rsid w:val="009344AC"/>
    <w:rsid w:val="009417B9"/>
    <w:rsid w:val="00942065"/>
    <w:rsid w:val="00953339"/>
    <w:rsid w:val="00955CC6"/>
    <w:rsid w:val="00973B4D"/>
    <w:rsid w:val="009911FB"/>
    <w:rsid w:val="0099735F"/>
    <w:rsid w:val="009A07CF"/>
    <w:rsid w:val="009A6FEA"/>
    <w:rsid w:val="009B4302"/>
    <w:rsid w:val="009C1EE0"/>
    <w:rsid w:val="009C4E1E"/>
    <w:rsid w:val="009D3B1A"/>
    <w:rsid w:val="009D4238"/>
    <w:rsid w:val="009F46EB"/>
    <w:rsid w:val="00A04634"/>
    <w:rsid w:val="00A10E02"/>
    <w:rsid w:val="00A134E7"/>
    <w:rsid w:val="00A1751D"/>
    <w:rsid w:val="00A22239"/>
    <w:rsid w:val="00A22F57"/>
    <w:rsid w:val="00A276FD"/>
    <w:rsid w:val="00A27E6C"/>
    <w:rsid w:val="00A362F3"/>
    <w:rsid w:val="00A45FE2"/>
    <w:rsid w:val="00A46C07"/>
    <w:rsid w:val="00A519DC"/>
    <w:rsid w:val="00A71CA7"/>
    <w:rsid w:val="00A75699"/>
    <w:rsid w:val="00A80BF1"/>
    <w:rsid w:val="00A86C68"/>
    <w:rsid w:val="00A901ED"/>
    <w:rsid w:val="00A91634"/>
    <w:rsid w:val="00A9287F"/>
    <w:rsid w:val="00AC3374"/>
    <w:rsid w:val="00AD0B57"/>
    <w:rsid w:val="00AD2D78"/>
    <w:rsid w:val="00AD4518"/>
    <w:rsid w:val="00AD66A8"/>
    <w:rsid w:val="00AE5863"/>
    <w:rsid w:val="00AE6962"/>
    <w:rsid w:val="00AF1870"/>
    <w:rsid w:val="00AF50EC"/>
    <w:rsid w:val="00B13A28"/>
    <w:rsid w:val="00B1697B"/>
    <w:rsid w:val="00B27386"/>
    <w:rsid w:val="00B27724"/>
    <w:rsid w:val="00B513F5"/>
    <w:rsid w:val="00B93837"/>
    <w:rsid w:val="00BA62D6"/>
    <w:rsid w:val="00BD1B63"/>
    <w:rsid w:val="00BD2811"/>
    <w:rsid w:val="00BD4177"/>
    <w:rsid w:val="00BD7990"/>
    <w:rsid w:val="00BF26F5"/>
    <w:rsid w:val="00BF28F1"/>
    <w:rsid w:val="00C0073B"/>
    <w:rsid w:val="00C03359"/>
    <w:rsid w:val="00C06EB7"/>
    <w:rsid w:val="00C075A7"/>
    <w:rsid w:val="00C1126F"/>
    <w:rsid w:val="00C117B8"/>
    <w:rsid w:val="00C11F52"/>
    <w:rsid w:val="00C222A1"/>
    <w:rsid w:val="00C27687"/>
    <w:rsid w:val="00C31DD1"/>
    <w:rsid w:val="00C3260E"/>
    <w:rsid w:val="00C35E43"/>
    <w:rsid w:val="00C35EBF"/>
    <w:rsid w:val="00C43C56"/>
    <w:rsid w:val="00C650E7"/>
    <w:rsid w:val="00C73656"/>
    <w:rsid w:val="00C80A2A"/>
    <w:rsid w:val="00C84953"/>
    <w:rsid w:val="00CB6FDF"/>
    <w:rsid w:val="00CC1714"/>
    <w:rsid w:val="00CC35DE"/>
    <w:rsid w:val="00CD74EC"/>
    <w:rsid w:val="00CE317A"/>
    <w:rsid w:val="00CF0B27"/>
    <w:rsid w:val="00CF4EF7"/>
    <w:rsid w:val="00D06E8D"/>
    <w:rsid w:val="00D31350"/>
    <w:rsid w:val="00D34940"/>
    <w:rsid w:val="00D3702C"/>
    <w:rsid w:val="00D37982"/>
    <w:rsid w:val="00D63F6C"/>
    <w:rsid w:val="00DA1C6A"/>
    <w:rsid w:val="00DA31EF"/>
    <w:rsid w:val="00DB5CE5"/>
    <w:rsid w:val="00DC406C"/>
    <w:rsid w:val="00DC639E"/>
    <w:rsid w:val="00DD5323"/>
    <w:rsid w:val="00DE0971"/>
    <w:rsid w:val="00DE2C6C"/>
    <w:rsid w:val="00DF2F38"/>
    <w:rsid w:val="00E05253"/>
    <w:rsid w:val="00E154B1"/>
    <w:rsid w:val="00E17980"/>
    <w:rsid w:val="00E24AD6"/>
    <w:rsid w:val="00E43C83"/>
    <w:rsid w:val="00E46439"/>
    <w:rsid w:val="00E602B9"/>
    <w:rsid w:val="00E61403"/>
    <w:rsid w:val="00E729FB"/>
    <w:rsid w:val="00E81F3B"/>
    <w:rsid w:val="00EA6753"/>
    <w:rsid w:val="00EB59AE"/>
    <w:rsid w:val="00EB6E72"/>
    <w:rsid w:val="00EB76B6"/>
    <w:rsid w:val="00EC7EA6"/>
    <w:rsid w:val="00ED2A35"/>
    <w:rsid w:val="00EF6F23"/>
    <w:rsid w:val="00F27CD8"/>
    <w:rsid w:val="00F52E6A"/>
    <w:rsid w:val="00F74E98"/>
    <w:rsid w:val="00F80563"/>
    <w:rsid w:val="00F877EF"/>
    <w:rsid w:val="00F96E48"/>
    <w:rsid w:val="00FA2DCB"/>
    <w:rsid w:val="00FB392E"/>
    <w:rsid w:val="00FD0973"/>
    <w:rsid w:val="00FD31CA"/>
    <w:rsid w:val="00FE2623"/>
    <w:rsid w:val="00FE632A"/>
    <w:rsid w:val="00FE67AE"/>
    <w:rsid w:val="01120D23"/>
    <w:rsid w:val="019DF3B5"/>
    <w:rsid w:val="01D12DE1"/>
    <w:rsid w:val="02121335"/>
    <w:rsid w:val="025EEE32"/>
    <w:rsid w:val="03A76D5D"/>
    <w:rsid w:val="03C48894"/>
    <w:rsid w:val="03FABE93"/>
    <w:rsid w:val="043843D1"/>
    <w:rsid w:val="05968EF4"/>
    <w:rsid w:val="071326A4"/>
    <w:rsid w:val="07325F55"/>
    <w:rsid w:val="079EA55F"/>
    <w:rsid w:val="080DA5CE"/>
    <w:rsid w:val="084106DD"/>
    <w:rsid w:val="0858232F"/>
    <w:rsid w:val="088154B9"/>
    <w:rsid w:val="0908B2F9"/>
    <w:rsid w:val="096FEC85"/>
    <w:rsid w:val="0ACA4977"/>
    <w:rsid w:val="0C71BCCF"/>
    <w:rsid w:val="0C8592EF"/>
    <w:rsid w:val="0D171135"/>
    <w:rsid w:val="0DFA1E94"/>
    <w:rsid w:val="0E216350"/>
    <w:rsid w:val="0EA52A10"/>
    <w:rsid w:val="0F849E5C"/>
    <w:rsid w:val="1087366E"/>
    <w:rsid w:val="1167A43F"/>
    <w:rsid w:val="12754355"/>
    <w:rsid w:val="12A33E6E"/>
    <w:rsid w:val="1453A981"/>
    <w:rsid w:val="148F97B6"/>
    <w:rsid w:val="14D84066"/>
    <w:rsid w:val="154AFD05"/>
    <w:rsid w:val="155180E2"/>
    <w:rsid w:val="19598DC7"/>
    <w:rsid w:val="1995F7CA"/>
    <w:rsid w:val="1A4D7F52"/>
    <w:rsid w:val="1A5CA8A8"/>
    <w:rsid w:val="1B1809F5"/>
    <w:rsid w:val="1BD706CB"/>
    <w:rsid w:val="1C9D346D"/>
    <w:rsid w:val="1CA8C5D4"/>
    <w:rsid w:val="1CA9B3DB"/>
    <w:rsid w:val="1D7E5B1F"/>
    <w:rsid w:val="1D897C2A"/>
    <w:rsid w:val="1E0F39C3"/>
    <w:rsid w:val="1E199FBF"/>
    <w:rsid w:val="1E449635"/>
    <w:rsid w:val="1E45843C"/>
    <w:rsid w:val="1ED18899"/>
    <w:rsid w:val="1FB82313"/>
    <w:rsid w:val="1FC8CF4B"/>
    <w:rsid w:val="1FFC8E2E"/>
    <w:rsid w:val="201D94B8"/>
    <w:rsid w:val="20BF2152"/>
    <w:rsid w:val="20DE32AB"/>
    <w:rsid w:val="210D7223"/>
    <w:rsid w:val="212D2F6D"/>
    <w:rsid w:val="215DF4BA"/>
    <w:rsid w:val="217DC809"/>
    <w:rsid w:val="22DCF567"/>
    <w:rsid w:val="23041AA3"/>
    <w:rsid w:val="24843B83"/>
    <w:rsid w:val="2512F29B"/>
    <w:rsid w:val="256C2413"/>
    <w:rsid w:val="25783132"/>
    <w:rsid w:val="258ADFFA"/>
    <w:rsid w:val="25FD98DB"/>
    <w:rsid w:val="26D904D6"/>
    <w:rsid w:val="27591174"/>
    <w:rsid w:val="277C4BE0"/>
    <w:rsid w:val="2817F7D4"/>
    <w:rsid w:val="289630A7"/>
    <w:rsid w:val="28AEAA5E"/>
    <w:rsid w:val="28FF5BAB"/>
    <w:rsid w:val="298C8484"/>
    <w:rsid w:val="29BDC6B5"/>
    <w:rsid w:val="2A033E52"/>
    <w:rsid w:val="2A0F4711"/>
    <w:rsid w:val="2A326023"/>
    <w:rsid w:val="2B0B81F2"/>
    <w:rsid w:val="2B2854E5"/>
    <w:rsid w:val="2B599716"/>
    <w:rsid w:val="2BD6E4E3"/>
    <w:rsid w:val="2C2C4426"/>
    <w:rsid w:val="2C4F09A7"/>
    <w:rsid w:val="2CA5BB7A"/>
    <w:rsid w:val="2CAAFCE9"/>
    <w:rsid w:val="2CB9C2A5"/>
    <w:rsid w:val="2CE6FDC0"/>
    <w:rsid w:val="2DC4ABCB"/>
    <w:rsid w:val="2E089530"/>
    <w:rsid w:val="2E7E8E38"/>
    <w:rsid w:val="2ED18691"/>
    <w:rsid w:val="2EE93840"/>
    <w:rsid w:val="2FA8E81D"/>
    <w:rsid w:val="2FE6E09B"/>
    <w:rsid w:val="2FF1AB53"/>
    <w:rsid w:val="3286EF80"/>
    <w:rsid w:val="33E4CEF4"/>
    <w:rsid w:val="33FBD430"/>
    <w:rsid w:val="3408C5B8"/>
    <w:rsid w:val="35541BBB"/>
    <w:rsid w:val="356BEAE1"/>
    <w:rsid w:val="3656221F"/>
    <w:rsid w:val="377CCB4E"/>
    <w:rsid w:val="37F1F280"/>
    <w:rsid w:val="3800EB5B"/>
    <w:rsid w:val="38043D2A"/>
    <w:rsid w:val="3820F93E"/>
    <w:rsid w:val="383811F5"/>
    <w:rsid w:val="3845C5F8"/>
    <w:rsid w:val="38538896"/>
    <w:rsid w:val="38BC4417"/>
    <w:rsid w:val="38CDE344"/>
    <w:rsid w:val="39505BF0"/>
    <w:rsid w:val="39916D77"/>
    <w:rsid w:val="3A59149D"/>
    <w:rsid w:val="3A8BA767"/>
    <w:rsid w:val="3B0A360F"/>
    <w:rsid w:val="3B2D3DD8"/>
    <w:rsid w:val="3B7279B4"/>
    <w:rsid w:val="3C058406"/>
    <w:rsid w:val="3C06918D"/>
    <w:rsid w:val="3C0A1F77"/>
    <w:rsid w:val="3C2777C8"/>
    <w:rsid w:val="3CBCAF64"/>
    <w:rsid w:val="3CC563A3"/>
    <w:rsid w:val="3CFC18D8"/>
    <w:rsid w:val="3D74960D"/>
    <w:rsid w:val="3E64DE9A"/>
    <w:rsid w:val="3E9A2F69"/>
    <w:rsid w:val="3F5F565D"/>
    <w:rsid w:val="403CAFD2"/>
    <w:rsid w:val="404D5DDE"/>
    <w:rsid w:val="405F5B8F"/>
    <w:rsid w:val="40F38595"/>
    <w:rsid w:val="42356849"/>
    <w:rsid w:val="426B81D6"/>
    <w:rsid w:val="42880C9A"/>
    <w:rsid w:val="42A63321"/>
    <w:rsid w:val="42FF66CB"/>
    <w:rsid w:val="43081D9F"/>
    <w:rsid w:val="43894080"/>
    <w:rsid w:val="440F13D4"/>
    <w:rsid w:val="448F0A6E"/>
    <w:rsid w:val="44B1EC7C"/>
    <w:rsid w:val="44D4201E"/>
    <w:rsid w:val="455ED965"/>
    <w:rsid w:val="455FED91"/>
    <w:rsid w:val="4619B17A"/>
    <w:rsid w:val="4636AF59"/>
    <w:rsid w:val="466D3151"/>
    <w:rsid w:val="472DF938"/>
    <w:rsid w:val="47DA26B5"/>
    <w:rsid w:val="48643DAD"/>
    <w:rsid w:val="48C5853B"/>
    <w:rsid w:val="4928D87E"/>
    <w:rsid w:val="49708F3A"/>
    <w:rsid w:val="49E3562E"/>
    <w:rsid w:val="4A7A3E51"/>
    <w:rsid w:val="4B809FF7"/>
    <w:rsid w:val="4C6F170F"/>
    <w:rsid w:val="4D6A03D1"/>
    <w:rsid w:val="4DE15979"/>
    <w:rsid w:val="4DEDD98B"/>
    <w:rsid w:val="4E0A1E22"/>
    <w:rsid w:val="4E2316C6"/>
    <w:rsid w:val="4EAA138E"/>
    <w:rsid w:val="4F2623A8"/>
    <w:rsid w:val="4FD1FA7E"/>
    <w:rsid w:val="50704D82"/>
    <w:rsid w:val="507CABCB"/>
    <w:rsid w:val="511890FF"/>
    <w:rsid w:val="5126BE2A"/>
    <w:rsid w:val="53347CE7"/>
    <w:rsid w:val="5349B44E"/>
    <w:rsid w:val="53B03C55"/>
    <w:rsid w:val="53FD6644"/>
    <w:rsid w:val="54256387"/>
    <w:rsid w:val="54EEEC8E"/>
    <w:rsid w:val="55002CB5"/>
    <w:rsid w:val="5500DB94"/>
    <w:rsid w:val="5597E9D8"/>
    <w:rsid w:val="55EE3329"/>
    <w:rsid w:val="55FA2F4D"/>
    <w:rsid w:val="56841C0D"/>
    <w:rsid w:val="570F050D"/>
    <w:rsid w:val="5743DBEC"/>
    <w:rsid w:val="57787429"/>
    <w:rsid w:val="58452451"/>
    <w:rsid w:val="5848E7A0"/>
    <w:rsid w:val="58D6BEA4"/>
    <w:rsid w:val="59C48052"/>
    <w:rsid w:val="5A32BF3B"/>
    <w:rsid w:val="5B21A492"/>
    <w:rsid w:val="5B4CC954"/>
    <w:rsid w:val="5B6F6E39"/>
    <w:rsid w:val="5C4F0525"/>
    <w:rsid w:val="5C5EBD0E"/>
    <w:rsid w:val="5CEAB271"/>
    <w:rsid w:val="5D5BEFE7"/>
    <w:rsid w:val="5DB31D70"/>
    <w:rsid w:val="5E820CD5"/>
    <w:rsid w:val="5E942ED3"/>
    <w:rsid w:val="5EA6E063"/>
    <w:rsid w:val="5FF67A0B"/>
    <w:rsid w:val="60A48DBB"/>
    <w:rsid w:val="613AFE65"/>
    <w:rsid w:val="61FB62A1"/>
    <w:rsid w:val="62001975"/>
    <w:rsid w:val="63195129"/>
    <w:rsid w:val="63359A01"/>
    <w:rsid w:val="642894CD"/>
    <w:rsid w:val="64B1983E"/>
    <w:rsid w:val="65966BB0"/>
    <w:rsid w:val="660E6F88"/>
    <w:rsid w:val="667AF869"/>
    <w:rsid w:val="675092BC"/>
    <w:rsid w:val="6767CDDB"/>
    <w:rsid w:val="67DCABAF"/>
    <w:rsid w:val="6800BE1C"/>
    <w:rsid w:val="684C9BBD"/>
    <w:rsid w:val="686FB22E"/>
    <w:rsid w:val="6893EA47"/>
    <w:rsid w:val="68A28816"/>
    <w:rsid w:val="6C3A2778"/>
    <w:rsid w:val="6C6BFE0F"/>
    <w:rsid w:val="6C9B9581"/>
    <w:rsid w:val="6D12DC9B"/>
    <w:rsid w:val="6E005910"/>
    <w:rsid w:val="6E235282"/>
    <w:rsid w:val="6E2ABC70"/>
    <w:rsid w:val="6E5B1E5D"/>
    <w:rsid w:val="6EAEACFC"/>
    <w:rsid w:val="6F2163A1"/>
    <w:rsid w:val="6F2D15A9"/>
    <w:rsid w:val="6FF96EE7"/>
    <w:rsid w:val="70781876"/>
    <w:rsid w:val="708499DC"/>
    <w:rsid w:val="70AF9891"/>
    <w:rsid w:val="710402EB"/>
    <w:rsid w:val="7124377F"/>
    <w:rsid w:val="712BD4B1"/>
    <w:rsid w:val="717EC506"/>
    <w:rsid w:val="71A56B4B"/>
    <w:rsid w:val="71D9074B"/>
    <w:rsid w:val="726A2BB7"/>
    <w:rsid w:val="737F7B8F"/>
    <w:rsid w:val="74141433"/>
    <w:rsid w:val="745C6FB9"/>
    <w:rsid w:val="7521EEE7"/>
    <w:rsid w:val="758656F9"/>
    <w:rsid w:val="75DFEB3B"/>
    <w:rsid w:val="764477F0"/>
    <w:rsid w:val="777F4819"/>
    <w:rsid w:val="78C09966"/>
    <w:rsid w:val="79178BFD"/>
    <w:rsid w:val="79CB9EEE"/>
    <w:rsid w:val="7A03616A"/>
    <w:rsid w:val="7A7A1B38"/>
    <w:rsid w:val="7B5F5276"/>
    <w:rsid w:val="7BE05F7C"/>
    <w:rsid w:val="7C9980E3"/>
    <w:rsid w:val="7CADD953"/>
    <w:rsid w:val="7D15CCED"/>
    <w:rsid w:val="7D1DB5C7"/>
    <w:rsid w:val="7D261CBF"/>
    <w:rsid w:val="7DA9CAAB"/>
    <w:rsid w:val="7DB8D9D9"/>
    <w:rsid w:val="7DD1AD6C"/>
    <w:rsid w:val="7ED6D28D"/>
    <w:rsid w:val="7F0814BE"/>
    <w:rsid w:val="7F274D6F"/>
    <w:rsid w:val="7FFD8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A62A3"/>
  <w15:chartTrackingRefBased/>
  <w15:docId w15:val="{4AC8D93F-0746-4384-B57B-AEC34073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86"/>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B27386"/>
    <w:pPr>
      <w:numPr>
        <w:numId w:val="1"/>
      </w:numPr>
      <w:outlineLvl w:val="0"/>
    </w:pPr>
    <w:rPr>
      <w:kern w:val="28"/>
    </w:rPr>
  </w:style>
  <w:style w:type="paragraph" w:styleId="Heading2">
    <w:name w:val="heading 2"/>
    <w:basedOn w:val="Normal"/>
    <w:next w:val="Normal"/>
    <w:link w:val="Heading2Char"/>
    <w:qFormat/>
    <w:rsid w:val="00B27386"/>
    <w:pPr>
      <w:numPr>
        <w:ilvl w:val="1"/>
        <w:numId w:val="1"/>
      </w:numPr>
      <w:outlineLvl w:val="1"/>
    </w:pPr>
  </w:style>
  <w:style w:type="paragraph" w:styleId="Heading3">
    <w:name w:val="heading 3"/>
    <w:basedOn w:val="Normal"/>
    <w:next w:val="Normal"/>
    <w:link w:val="Heading3Char"/>
    <w:qFormat/>
    <w:rsid w:val="00B27386"/>
    <w:pPr>
      <w:numPr>
        <w:ilvl w:val="2"/>
        <w:numId w:val="1"/>
      </w:numPr>
      <w:outlineLvl w:val="2"/>
    </w:pPr>
  </w:style>
  <w:style w:type="paragraph" w:styleId="Heading4">
    <w:name w:val="heading 4"/>
    <w:basedOn w:val="Normal"/>
    <w:next w:val="Normal"/>
    <w:link w:val="Heading4Char"/>
    <w:qFormat/>
    <w:rsid w:val="00B27386"/>
    <w:pPr>
      <w:numPr>
        <w:ilvl w:val="3"/>
        <w:numId w:val="1"/>
      </w:numPr>
      <w:outlineLvl w:val="3"/>
    </w:pPr>
  </w:style>
  <w:style w:type="paragraph" w:styleId="Heading5">
    <w:name w:val="heading 5"/>
    <w:basedOn w:val="Normal"/>
    <w:next w:val="Normal"/>
    <w:link w:val="Heading5Char"/>
    <w:qFormat/>
    <w:rsid w:val="00B27386"/>
    <w:pPr>
      <w:numPr>
        <w:ilvl w:val="4"/>
        <w:numId w:val="1"/>
      </w:numPr>
      <w:outlineLvl w:val="4"/>
    </w:pPr>
  </w:style>
  <w:style w:type="paragraph" w:styleId="Heading6">
    <w:name w:val="heading 6"/>
    <w:basedOn w:val="Normal"/>
    <w:next w:val="Normal"/>
    <w:link w:val="Heading6Char"/>
    <w:qFormat/>
    <w:rsid w:val="00B27386"/>
    <w:pPr>
      <w:numPr>
        <w:ilvl w:val="5"/>
        <w:numId w:val="1"/>
      </w:numPr>
      <w:outlineLvl w:val="5"/>
    </w:pPr>
  </w:style>
  <w:style w:type="paragraph" w:styleId="Heading7">
    <w:name w:val="heading 7"/>
    <w:basedOn w:val="Normal"/>
    <w:next w:val="Normal"/>
    <w:link w:val="Heading7Char"/>
    <w:qFormat/>
    <w:rsid w:val="00B27386"/>
    <w:pPr>
      <w:numPr>
        <w:ilvl w:val="6"/>
        <w:numId w:val="1"/>
      </w:numPr>
      <w:outlineLvl w:val="6"/>
    </w:pPr>
  </w:style>
  <w:style w:type="paragraph" w:styleId="Heading8">
    <w:name w:val="heading 8"/>
    <w:basedOn w:val="Normal"/>
    <w:next w:val="Normal"/>
    <w:link w:val="Heading8Char"/>
    <w:qFormat/>
    <w:rsid w:val="00B27386"/>
    <w:pPr>
      <w:numPr>
        <w:ilvl w:val="7"/>
        <w:numId w:val="1"/>
      </w:numPr>
      <w:outlineLvl w:val="7"/>
    </w:pPr>
  </w:style>
  <w:style w:type="paragraph" w:styleId="Heading9">
    <w:name w:val="heading 9"/>
    <w:basedOn w:val="Normal"/>
    <w:next w:val="Normal"/>
    <w:link w:val="Heading9Char"/>
    <w:qFormat/>
    <w:rsid w:val="00B2738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38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B27386"/>
    <w:rPr>
      <w:rFonts w:ascii="Times New Roman" w:eastAsia="Times New Roman" w:hAnsi="Times New Roman" w:cs="Times New Roman"/>
      <w:lang w:val="en-US"/>
    </w:rPr>
  </w:style>
  <w:style w:type="character" w:customStyle="1" w:styleId="Heading3Char">
    <w:name w:val="Heading 3 Char"/>
    <w:basedOn w:val="DefaultParagraphFont"/>
    <w:link w:val="Heading3"/>
    <w:rsid w:val="00B27386"/>
    <w:rPr>
      <w:rFonts w:ascii="Times New Roman" w:eastAsia="Times New Roman" w:hAnsi="Times New Roman" w:cs="Times New Roman"/>
      <w:lang w:val="en-US"/>
    </w:rPr>
  </w:style>
  <w:style w:type="character" w:customStyle="1" w:styleId="Heading4Char">
    <w:name w:val="Heading 4 Char"/>
    <w:basedOn w:val="DefaultParagraphFont"/>
    <w:link w:val="Heading4"/>
    <w:rsid w:val="00B27386"/>
    <w:rPr>
      <w:rFonts w:ascii="Times New Roman" w:eastAsia="Times New Roman" w:hAnsi="Times New Roman" w:cs="Times New Roman"/>
      <w:lang w:val="en-US"/>
    </w:rPr>
  </w:style>
  <w:style w:type="character" w:customStyle="1" w:styleId="Heading5Char">
    <w:name w:val="Heading 5 Char"/>
    <w:basedOn w:val="DefaultParagraphFont"/>
    <w:link w:val="Heading5"/>
    <w:rsid w:val="00B27386"/>
    <w:rPr>
      <w:rFonts w:ascii="Times New Roman" w:eastAsia="Times New Roman" w:hAnsi="Times New Roman" w:cs="Times New Roman"/>
      <w:lang w:val="en-US"/>
    </w:rPr>
  </w:style>
  <w:style w:type="character" w:customStyle="1" w:styleId="Heading6Char">
    <w:name w:val="Heading 6 Char"/>
    <w:basedOn w:val="DefaultParagraphFont"/>
    <w:link w:val="Heading6"/>
    <w:rsid w:val="00B27386"/>
    <w:rPr>
      <w:rFonts w:ascii="Times New Roman" w:eastAsia="Times New Roman" w:hAnsi="Times New Roman" w:cs="Times New Roman"/>
      <w:lang w:val="en-US"/>
    </w:rPr>
  </w:style>
  <w:style w:type="character" w:customStyle="1" w:styleId="Heading7Char">
    <w:name w:val="Heading 7 Char"/>
    <w:basedOn w:val="DefaultParagraphFont"/>
    <w:link w:val="Heading7"/>
    <w:rsid w:val="00B27386"/>
    <w:rPr>
      <w:rFonts w:ascii="Times New Roman" w:eastAsia="Times New Roman" w:hAnsi="Times New Roman" w:cs="Times New Roman"/>
      <w:lang w:val="en-US"/>
    </w:rPr>
  </w:style>
  <w:style w:type="character" w:customStyle="1" w:styleId="Heading8Char">
    <w:name w:val="Heading 8 Char"/>
    <w:basedOn w:val="DefaultParagraphFont"/>
    <w:link w:val="Heading8"/>
    <w:rsid w:val="00B27386"/>
    <w:rPr>
      <w:rFonts w:ascii="Times New Roman" w:eastAsia="Times New Roman" w:hAnsi="Times New Roman" w:cs="Times New Roman"/>
      <w:lang w:val="en-US"/>
    </w:rPr>
  </w:style>
  <w:style w:type="character" w:customStyle="1" w:styleId="Heading9Char">
    <w:name w:val="Heading 9 Char"/>
    <w:basedOn w:val="DefaultParagraphFont"/>
    <w:link w:val="Heading9"/>
    <w:rsid w:val="00B27386"/>
    <w:rPr>
      <w:rFonts w:ascii="Times New Roman" w:eastAsia="Times New Roman" w:hAnsi="Times New Roman" w:cs="Times New Roman"/>
      <w:lang w:val="en-US"/>
    </w:rPr>
  </w:style>
  <w:style w:type="paragraph" w:styleId="Footer">
    <w:name w:val="footer"/>
    <w:basedOn w:val="Normal"/>
    <w:link w:val="FooterChar"/>
    <w:qFormat/>
    <w:rsid w:val="00B27386"/>
  </w:style>
  <w:style w:type="character" w:customStyle="1" w:styleId="FooterChar">
    <w:name w:val="Footer Char"/>
    <w:basedOn w:val="DefaultParagraphFont"/>
    <w:link w:val="Footer"/>
    <w:rsid w:val="00B27386"/>
    <w:rPr>
      <w:rFonts w:ascii="Times New Roman" w:eastAsia="Times New Roman" w:hAnsi="Times New Roman" w:cs="Times New Roman"/>
      <w:lang w:val="en-US"/>
    </w:rPr>
  </w:style>
  <w:style w:type="paragraph" w:styleId="FootnoteText">
    <w:name w:val="footnote text"/>
    <w:basedOn w:val="Normal"/>
    <w:link w:val="FootnoteTextChar"/>
    <w:qFormat/>
    <w:rsid w:val="00B27386"/>
    <w:pPr>
      <w:keepLines/>
      <w:spacing w:after="60" w:line="240" w:lineRule="auto"/>
      <w:ind w:left="567" w:hanging="567"/>
    </w:pPr>
    <w:rPr>
      <w:sz w:val="16"/>
    </w:rPr>
  </w:style>
  <w:style w:type="character" w:customStyle="1" w:styleId="FootnoteTextChar">
    <w:name w:val="Footnote Text Char"/>
    <w:basedOn w:val="DefaultParagraphFont"/>
    <w:link w:val="FootnoteText"/>
    <w:rsid w:val="00B27386"/>
    <w:rPr>
      <w:rFonts w:ascii="Times New Roman" w:eastAsia="Times New Roman" w:hAnsi="Times New Roman" w:cs="Times New Roman"/>
      <w:sz w:val="16"/>
      <w:lang w:val="en-US"/>
    </w:rPr>
  </w:style>
  <w:style w:type="paragraph" w:styleId="Header">
    <w:name w:val="header"/>
    <w:basedOn w:val="Normal"/>
    <w:link w:val="HeaderChar"/>
    <w:qFormat/>
    <w:rsid w:val="00B27386"/>
  </w:style>
  <w:style w:type="character" w:customStyle="1" w:styleId="HeaderChar">
    <w:name w:val="Header Char"/>
    <w:basedOn w:val="DefaultParagraphFont"/>
    <w:link w:val="Header"/>
    <w:rsid w:val="00B27386"/>
    <w:rPr>
      <w:rFonts w:ascii="Times New Roman" w:eastAsia="Times New Roman" w:hAnsi="Times New Roman" w:cs="Times New Roman"/>
      <w:lang w:val="en-US"/>
    </w:rPr>
  </w:style>
  <w:style w:type="paragraph" w:customStyle="1" w:styleId="quotes">
    <w:name w:val="quotes"/>
    <w:basedOn w:val="Normal"/>
    <w:next w:val="Normal"/>
    <w:rsid w:val="00B27386"/>
    <w:pPr>
      <w:ind w:left="720"/>
    </w:pPr>
    <w:rPr>
      <w:i/>
    </w:rPr>
  </w:style>
  <w:style w:type="character" w:styleId="FootnoteReference">
    <w:name w:val="footnote reference"/>
    <w:basedOn w:val="DefaultParagraphFont"/>
    <w:unhideWhenUsed/>
    <w:qFormat/>
    <w:rsid w:val="00B27386"/>
    <w:rPr>
      <w:sz w:val="24"/>
      <w:vertAlign w:val="superscript"/>
    </w:rPr>
  </w:style>
  <w:style w:type="paragraph" w:styleId="ListParagraph">
    <w:name w:val="List Paragraph"/>
    <w:basedOn w:val="Normal"/>
    <w:uiPriority w:val="34"/>
    <w:qFormat/>
    <w:rsid w:val="00592D75"/>
    <w:pPr>
      <w:ind w:left="720"/>
      <w:contextualSpacing/>
    </w:pPr>
  </w:style>
  <w:style w:type="paragraph" w:customStyle="1" w:styleId="Default">
    <w:name w:val="Default"/>
    <w:basedOn w:val="Normal"/>
    <w:uiPriority w:val="99"/>
    <w:rsid w:val="00B1697B"/>
    <w:pPr>
      <w:spacing w:line="240" w:lineRule="auto"/>
      <w:jc w:val="left"/>
    </w:pPr>
    <w:rPr>
      <w:rFonts w:eastAsiaTheme="minorHAnsi"/>
      <w:color w:val="000000"/>
      <w:sz w:val="24"/>
      <w:szCs w:val="24"/>
      <w:lang w:val="fr-BE" w:eastAsia="en-GB"/>
    </w:rPr>
  </w:style>
  <w:style w:type="character" w:styleId="CommentReference">
    <w:name w:val="annotation reference"/>
    <w:basedOn w:val="DefaultParagraphFont"/>
    <w:uiPriority w:val="99"/>
    <w:semiHidden/>
    <w:unhideWhenUsed/>
    <w:rsid w:val="004078EC"/>
    <w:rPr>
      <w:sz w:val="16"/>
      <w:szCs w:val="16"/>
    </w:rPr>
  </w:style>
  <w:style w:type="paragraph" w:styleId="CommentText">
    <w:name w:val="annotation text"/>
    <w:basedOn w:val="Normal"/>
    <w:link w:val="CommentTextChar"/>
    <w:uiPriority w:val="99"/>
    <w:semiHidden/>
    <w:unhideWhenUsed/>
    <w:rsid w:val="004078EC"/>
    <w:pPr>
      <w:spacing w:line="240" w:lineRule="auto"/>
    </w:pPr>
    <w:rPr>
      <w:sz w:val="20"/>
      <w:szCs w:val="20"/>
    </w:rPr>
  </w:style>
  <w:style w:type="character" w:customStyle="1" w:styleId="CommentTextChar">
    <w:name w:val="Comment Text Char"/>
    <w:basedOn w:val="DefaultParagraphFont"/>
    <w:link w:val="CommentText"/>
    <w:uiPriority w:val="99"/>
    <w:semiHidden/>
    <w:rsid w:val="004078E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78EC"/>
    <w:rPr>
      <w:b/>
      <w:bCs/>
    </w:rPr>
  </w:style>
  <w:style w:type="character" w:customStyle="1" w:styleId="CommentSubjectChar">
    <w:name w:val="Comment Subject Char"/>
    <w:basedOn w:val="CommentTextChar"/>
    <w:link w:val="CommentSubject"/>
    <w:uiPriority w:val="99"/>
    <w:semiHidden/>
    <w:rsid w:val="004078EC"/>
    <w:rPr>
      <w:rFonts w:ascii="Times New Roman" w:eastAsia="Times New Roman" w:hAnsi="Times New Roman" w:cs="Times New Roman"/>
      <w:b/>
      <w:bCs/>
      <w:sz w:val="20"/>
      <w:szCs w:val="20"/>
      <w:lang w:val="en-US"/>
    </w:rPr>
  </w:style>
  <w:style w:type="paragraph" w:styleId="Revision">
    <w:name w:val="Revision"/>
    <w:hidden/>
    <w:uiPriority w:val="99"/>
    <w:semiHidden/>
    <w:rsid w:val="00C35EBF"/>
    <w:pPr>
      <w:spacing w:after="0" w:line="240" w:lineRule="auto"/>
    </w:pPr>
    <w:rPr>
      <w:rFonts w:ascii="Times New Roman" w:eastAsia="Times New Roman" w:hAnsi="Times New Roman" w:cs="Times New Roman"/>
      <w:lang w:val="en-US"/>
    </w:rPr>
  </w:style>
  <w:style w:type="table" w:styleId="TableGrid">
    <w:name w:val="Table Grid"/>
    <w:basedOn w:val="TableNormal"/>
    <w:uiPriority w:val="39"/>
    <w:rsid w:val="00C3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B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4D"/>
    <w:rPr>
      <w:rFonts w:ascii="Segoe UI" w:eastAsia="Times New Roman" w:hAnsi="Segoe UI" w:cs="Segoe UI"/>
      <w:sz w:val="18"/>
      <w:szCs w:val="18"/>
      <w:lang w:val="en-US"/>
    </w:rPr>
  </w:style>
  <w:style w:type="character" w:styleId="Hyperlink">
    <w:name w:val="Hyperlink"/>
    <w:rsid w:val="000D7652"/>
    <w:rPr>
      <w:color w:val="0563C1"/>
      <w:u w:val="single"/>
    </w:rPr>
  </w:style>
  <w:style w:type="paragraph" w:styleId="NormalWeb">
    <w:name w:val="Normal (Web)"/>
    <w:basedOn w:val="Normal"/>
    <w:uiPriority w:val="99"/>
    <w:semiHidden/>
    <w:unhideWhenUsed/>
    <w:rsid w:val="00955CC6"/>
    <w:pPr>
      <w:spacing w:before="100" w:beforeAutospacing="1" w:after="100" w:afterAutospacing="1" w:line="240" w:lineRule="auto"/>
      <w:jc w:val="left"/>
    </w:pPr>
    <w:rPr>
      <w:sz w:val="24"/>
      <w:szCs w:val="24"/>
      <w:lang w:val="en-GB" w:eastAsia="en-GB"/>
    </w:rPr>
  </w:style>
  <w:style w:type="character" w:customStyle="1" w:styleId="UnresolvedMention1">
    <w:name w:val="Unresolved Mention1"/>
    <w:basedOn w:val="DefaultParagraphFont"/>
    <w:uiPriority w:val="99"/>
    <w:semiHidden/>
    <w:unhideWhenUsed/>
    <w:rsid w:val="0078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77363">
      <w:bodyDiv w:val="1"/>
      <w:marLeft w:val="0"/>
      <w:marRight w:val="0"/>
      <w:marTop w:val="0"/>
      <w:marBottom w:val="0"/>
      <w:divBdr>
        <w:top w:val="none" w:sz="0" w:space="0" w:color="auto"/>
        <w:left w:val="none" w:sz="0" w:space="0" w:color="auto"/>
        <w:bottom w:val="none" w:sz="0" w:space="0" w:color="auto"/>
        <w:right w:val="none" w:sz="0" w:space="0" w:color="auto"/>
      </w:divBdr>
    </w:div>
    <w:div w:id="1782335886">
      <w:bodyDiv w:val="1"/>
      <w:marLeft w:val="0"/>
      <w:marRight w:val="0"/>
      <w:marTop w:val="0"/>
      <w:marBottom w:val="0"/>
      <w:divBdr>
        <w:top w:val="none" w:sz="0" w:space="0" w:color="auto"/>
        <w:left w:val="none" w:sz="0" w:space="0" w:color="auto"/>
        <w:bottom w:val="none" w:sz="0" w:space="0" w:color="auto"/>
        <w:right w:val="none" w:sz="0" w:space="0" w:color="auto"/>
      </w:divBdr>
    </w:div>
    <w:div w:id="2015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3c6bf28d14f0499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XMKEDVFMMJCW-1998863520-6164</_dlc_DocId>
    <_dlc_DocIdUrl xmlns="56a5413d-c261-4a00-870c-a20d3379ae6d">
      <Url>http://dm/eesc/2023/_layouts/15/DocIdRedir.aspx?ID=XMKEDVFMMJCW-1998863520-6164</Url>
      <Description>XMKEDVFMMJCW-1998863520-6164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2024-02-29T12:00:00+00:00</ProductionDate>
    <FicheYear xmlns="56a5413d-c261-4a00-870c-a20d3379ae6d" xsi:nil="true"/>
    <DocumentNumber xmlns="987be9aa-249f-4798-9f17-aa191cb2cf76">5157</DocumentNumber>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16</Value>
      <Value>33</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1436</FicheNumber>
    <OriginalSender xmlns="56a5413d-c261-4a00-870c-a20d3379ae6d">
      <UserInfo>
        <DisplayName>TDriveSVCUserProd</DisplayName>
        <AccountId>1467</AccountId>
        <AccountType/>
      </UserInfo>
    </OriginalSender>
    <DocumentPart xmlns="56a5413d-c261-4a00-870c-a20d3379ae6d">0</DocumentPart>
    <AdoptionDate xmlns="56a5413d-c261-4a00-870c-a20d3379ae6d" xsi:nil="true"/>
    <RequestingService xmlns="56a5413d-c261-4a00-870c-a20d3379ae6d">Transports, énergie, infrastructures et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DossierName_0>
    <DocumentVersion xmlns="56a5413d-c261-4a00-870c-a20d3379ae6d">3</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D51B0-7FD9-476D-854E-11B3DAD13769}">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87be9aa-249f-4798-9f17-aa191cb2cf76"/>
  </ds:schemaRefs>
</ds:datastoreItem>
</file>

<file path=customXml/itemProps2.xml><?xml version="1.0" encoding="utf-8"?>
<ds:datastoreItem xmlns:ds="http://schemas.openxmlformats.org/officeDocument/2006/customXml" ds:itemID="{EF4CA3D8-548B-49DB-92A7-1A34D98238DF}">
  <ds:schemaRefs>
    <ds:schemaRef ds:uri="http://schemas.microsoft.com/sharepoint/events"/>
  </ds:schemaRefs>
</ds:datastoreItem>
</file>

<file path=customXml/itemProps3.xml><?xml version="1.0" encoding="utf-8"?>
<ds:datastoreItem xmlns:ds="http://schemas.openxmlformats.org/officeDocument/2006/customXml" ds:itemID="{5EC0C0BC-C4D6-431D-9CF3-0FAA29647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87be9aa-249f-4798-9f17-aa191cb2c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5AD8-8C8D-437F-8C5E-4749519BE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3204</Words>
  <Characters>17627</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second revised Draft TEN Work Program for 2024</vt:lpstr>
      <vt:lpstr>Revised Draft TEN Section Work Programme for 2023</vt:lpstr>
    </vt:vector>
  </TitlesOfParts>
  <Company>CESE-CdR</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TEN Work Program for 2024</dc:title>
  <dc:subject>Consultative work, various</dc:subject>
  <dc:creator>Bazsik Agota</dc:creator>
  <cp:keywords>EESC-2023-05157-00-03-TCD-TRA-EN</cp:keywords>
  <dc:description>Rapporteur: -  Original language: - EN Date of document: - 29/02/2024 Date of meeting: -  External documents: -  Administrator responsible: - Mme PORRES DE MATEO Beatriz</dc:description>
  <cp:lastModifiedBy>Bogdi Maria</cp:lastModifiedBy>
  <cp:revision>3</cp:revision>
  <cp:lastPrinted>2024-03-06T10:33:00Z</cp:lastPrinted>
  <dcterms:created xsi:type="dcterms:W3CDTF">2024-04-10T13:15:00Z</dcterms:created>
  <dcterms:modified xsi:type="dcterms:W3CDTF">2024-04-10T13:16:00Z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29/02/2024, 22/12/2023, 08/12/2023, 28/11/2023, 13/02/2023, 18/11/2022, 15/11/2022</vt:lpwstr>
  </property>
  <property fmtid="{D5CDD505-2E9C-101B-9397-08002B2CF9AE}" pid="4" name="Pref_Time">
    <vt:lpwstr>16:04:03, 13:59:53, 08:44:55, 17:14:16, 15:23:00, 17:35:27, 10:51:14</vt:lpwstr>
  </property>
  <property fmtid="{D5CDD505-2E9C-101B-9397-08002B2CF9AE}" pid="5" name="Pref_User">
    <vt:lpwstr>pacup, pacup, pacup, amett, pacup, jhvi, jhvi</vt:lpwstr>
  </property>
  <property fmtid="{D5CDD505-2E9C-101B-9397-08002B2CF9AE}" pid="6" name="Pref_FileName">
    <vt:lpwstr>EESC-2023-05157-00-03-TCD-TRA.docx, EESC-2023-05157-00-02-TCD-TRA.docx, EESC-2023-05157-00-01-TCD-TRA.docx, EESC-2023-05157-00-00-TCD-TRA-EN-CRR.docx, EESC-2022-05541-00-02-TCD-TRA-EN-CRR.docx, EESC-2022-05541-00-01-TCD-ORI.docx, EESC-2022-05541-00-00-TCD</vt:lpwstr>
  </property>
  <property fmtid="{D5CDD505-2E9C-101B-9397-08002B2CF9AE}" pid="7" name="ContentTypeId">
    <vt:lpwstr>0x010100EA97B91038054C99906057A708A1480A00D801061BA64D4F4583C66427878D4C9A</vt:lpwstr>
  </property>
  <property fmtid="{D5CDD505-2E9C-101B-9397-08002B2CF9AE}" pid="8" name="_dlc_DocIdItemGuid">
    <vt:lpwstr>ecb166ce-4110-4b55-b96f-74ea9bfdcfc7</vt:lpwstr>
  </property>
  <property fmtid="{D5CDD505-2E9C-101B-9397-08002B2CF9AE}" pid="9" name="AvailableTranslations">
    <vt:lpwstr>16;#DE|f6b31e5a-26fa-4935-b661-318e46daf27e;#5;#EN|f2175f21-25d7-44a3-96da-d6a61b075e1b;#33;#LV|46f7e311-5d9f-4663-b433-18aeccb7ace7;#10;#FR|d2afafd3-4c81-4f60-8f52-ee33f2f54ff3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5157</vt:i4>
  </property>
  <property fmtid="{D5CDD505-2E9C-101B-9397-08002B2CF9AE}" pid="14" name="FicheYear">
    <vt:i4>2023</vt:i4>
  </property>
  <property fmtid="{D5CDD505-2E9C-101B-9397-08002B2CF9AE}" pid="15" name="DocumentVersion">
    <vt:i4>3</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Transports, énergie, infrastructures et société de l'information</vt:lpwstr>
  </property>
  <property fmtid="{D5CDD505-2E9C-101B-9397-08002B2CF9AE}" pid="22" name="Confidentiality">
    <vt:lpwstr>9;#Unrestricted|826e22d7-d029-4ec0-a450-0c28ff673572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9;#Unrestricted|826e22d7-d029-4ec0-a450-0c28ff673572;#8;#TCD|cd9d6eb6-3f4f-424a-b2d1-57c9d450eaaf;#7;#Final|ea5e6674-7b27-4bac-b091-73adbb394efe;#5;#EN|f2175f21-25d7-44a3-96da-d6a61b075e1b;#3;#TRA|150d2a88-1431-44e6-a8ca-0bb753ab8672;#1;#EESC|422833ec-8d7e-4e65-8e4e-8bed07ffb729</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2023</vt:i4>
  </property>
  <property fmtid="{D5CDD505-2E9C-101B-9397-08002B2CF9AE}" pid="34" name="FicheNumber">
    <vt:i4>1436</vt:i4>
  </property>
  <property fmtid="{D5CDD505-2E9C-101B-9397-08002B2CF9AE}" pid="35" name="DocumentLanguage">
    <vt:lpwstr>5;#EN|f2175f21-25d7-44a3-96da-d6a61b075e1b</vt:lpwstr>
  </property>
  <property fmtid="{D5CDD505-2E9C-101B-9397-08002B2CF9AE}" pid="36" name="_docset_NoMedatataSyncRequired">
    <vt:lpwstr>False</vt:lpwstr>
  </property>
</Properties>
</file>